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E64C" w14:textId="77777777" w:rsidR="0077711C" w:rsidRDefault="003451F3" w:rsidP="00AB4A8A">
      <w:pPr>
        <w:autoSpaceDE w:val="0"/>
        <w:autoSpaceDN w:val="0"/>
        <w:adjustRightInd w:val="0"/>
        <w:spacing w:line="360" w:lineRule="auto"/>
        <w:jc w:val="center"/>
        <w:rPr>
          <w:rFonts w:ascii="宋体" w:cs="宋体"/>
          <w:b/>
          <w:kern w:val="0"/>
          <w:sz w:val="32"/>
          <w:szCs w:val="28"/>
        </w:rPr>
      </w:pPr>
      <w:r>
        <w:rPr>
          <w:rFonts w:ascii="宋体" w:cs="宋体" w:hint="eastAsia"/>
          <w:b/>
          <w:kern w:val="0"/>
          <w:sz w:val="32"/>
          <w:szCs w:val="28"/>
        </w:rPr>
        <w:t>《</w:t>
      </w:r>
      <w:r w:rsidR="00675177">
        <w:rPr>
          <w:rFonts w:ascii="宋体" w:cs="宋体" w:hint="eastAsia"/>
          <w:b/>
          <w:kern w:val="0"/>
          <w:sz w:val="32"/>
          <w:szCs w:val="28"/>
        </w:rPr>
        <w:t>电动汽车安全要求</w:t>
      </w:r>
      <w:r>
        <w:rPr>
          <w:rFonts w:ascii="宋体" w:cs="宋体" w:hint="eastAsia"/>
          <w:b/>
          <w:kern w:val="0"/>
          <w:sz w:val="32"/>
          <w:szCs w:val="28"/>
        </w:rPr>
        <w:t>》</w:t>
      </w:r>
    </w:p>
    <w:p w14:paraId="58B4D962" w14:textId="77777777" w:rsidR="0077711C" w:rsidRDefault="00320A29">
      <w:pPr>
        <w:autoSpaceDE w:val="0"/>
        <w:autoSpaceDN w:val="0"/>
        <w:adjustRightInd w:val="0"/>
        <w:spacing w:line="360" w:lineRule="auto"/>
        <w:jc w:val="center"/>
        <w:rPr>
          <w:rFonts w:ascii="宋体" w:cs="宋体"/>
          <w:b/>
          <w:kern w:val="0"/>
          <w:sz w:val="32"/>
          <w:szCs w:val="28"/>
        </w:rPr>
      </w:pPr>
      <w:r w:rsidRPr="007A4391">
        <w:rPr>
          <w:rFonts w:ascii="宋体" w:cs="宋体"/>
          <w:b/>
          <w:kern w:val="0"/>
          <w:sz w:val="32"/>
          <w:szCs w:val="28"/>
        </w:rPr>
        <w:t>征求意见稿</w:t>
      </w:r>
      <w:r>
        <w:rPr>
          <w:rFonts w:ascii="宋体" w:cs="宋体" w:hint="eastAsia"/>
          <w:b/>
          <w:kern w:val="0"/>
          <w:sz w:val="32"/>
          <w:szCs w:val="28"/>
        </w:rPr>
        <w:t xml:space="preserve"> </w:t>
      </w:r>
      <w:r w:rsidR="002A4619">
        <w:rPr>
          <w:rFonts w:ascii="宋体" w:cs="宋体" w:hint="eastAsia"/>
          <w:b/>
          <w:kern w:val="0"/>
          <w:sz w:val="32"/>
          <w:szCs w:val="28"/>
        </w:rPr>
        <w:t>编制说明</w:t>
      </w:r>
    </w:p>
    <w:p w14:paraId="2D047479"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t>工作简况</w:t>
      </w:r>
    </w:p>
    <w:p w14:paraId="1EF500B4" w14:textId="77777777" w:rsidR="0077711C" w:rsidRDefault="002A4619">
      <w:pPr>
        <w:tabs>
          <w:tab w:val="left" w:pos="1676"/>
        </w:tabs>
        <w:spacing w:line="360" w:lineRule="auto"/>
        <w:rPr>
          <w:rStyle w:val="af0"/>
          <w:sz w:val="24"/>
          <w:szCs w:val="28"/>
        </w:rPr>
      </w:pPr>
      <w:r>
        <w:rPr>
          <w:rStyle w:val="af0"/>
          <w:rFonts w:hint="eastAsia"/>
          <w:sz w:val="24"/>
          <w:szCs w:val="28"/>
        </w:rPr>
        <w:t>1</w:t>
      </w:r>
      <w:r>
        <w:rPr>
          <w:rStyle w:val="af0"/>
          <w:rFonts w:hint="eastAsia"/>
          <w:sz w:val="24"/>
          <w:szCs w:val="28"/>
        </w:rPr>
        <w:t>、</w:t>
      </w:r>
      <w:r>
        <w:rPr>
          <w:rStyle w:val="af0"/>
          <w:sz w:val="24"/>
          <w:szCs w:val="28"/>
        </w:rPr>
        <w:t>任务来源</w:t>
      </w:r>
    </w:p>
    <w:p w14:paraId="3828BC74" w14:textId="77777777" w:rsidR="002F35AA" w:rsidRPr="00343A4E" w:rsidRDefault="00FF2DB0">
      <w:pPr>
        <w:tabs>
          <w:tab w:val="left" w:pos="1676"/>
        </w:tabs>
        <w:spacing w:line="360" w:lineRule="auto"/>
        <w:ind w:firstLineChars="200" w:firstLine="480"/>
        <w:rPr>
          <w:rFonts w:ascii="宋体" w:hAnsi="宋体" w:cs="宋体"/>
          <w:sz w:val="24"/>
        </w:rPr>
      </w:pPr>
      <w:r w:rsidRPr="00343A4E">
        <w:rPr>
          <w:rFonts w:ascii="宋体" w:hAnsi="宋体" w:cs="宋体" w:hint="eastAsia"/>
          <w:sz w:val="24"/>
        </w:rPr>
        <w:t>为了落实工信部提出的构建电动汽车及储能系统安全标准规范体系的建设。全国汽车标准化技术委员会于2016</w:t>
      </w:r>
      <w:r w:rsidR="007A4391">
        <w:rPr>
          <w:rFonts w:ascii="宋体" w:hAnsi="宋体" w:cs="宋体" w:hint="eastAsia"/>
          <w:sz w:val="24"/>
        </w:rPr>
        <w:t>年</w:t>
      </w:r>
      <w:r w:rsidRPr="00343A4E">
        <w:rPr>
          <w:rFonts w:ascii="宋体" w:hAnsi="宋体" w:cs="宋体" w:hint="eastAsia"/>
          <w:sz w:val="24"/>
        </w:rPr>
        <w:t>7</w:t>
      </w:r>
      <w:r w:rsidR="007A4391">
        <w:rPr>
          <w:rFonts w:ascii="宋体" w:hAnsi="宋体" w:cs="宋体" w:hint="eastAsia"/>
          <w:sz w:val="24"/>
        </w:rPr>
        <w:t>月</w:t>
      </w:r>
      <w:r w:rsidRPr="00343A4E">
        <w:rPr>
          <w:rFonts w:ascii="宋体" w:hAnsi="宋体" w:cs="宋体" w:hint="eastAsia"/>
          <w:sz w:val="24"/>
        </w:rPr>
        <w:t>启动了本强标的立项工作，意在制定与国际接轨且符合中国国情的电动汽车安全整车层面的强制性标准</w:t>
      </w:r>
      <w:r w:rsidR="00343A4E" w:rsidRPr="00343A4E">
        <w:rPr>
          <w:rFonts w:ascii="宋体" w:hAnsi="宋体" w:cs="宋体" w:hint="eastAsia"/>
          <w:sz w:val="24"/>
        </w:rPr>
        <w:t>。</w:t>
      </w:r>
      <w:r w:rsidR="0067030A">
        <w:rPr>
          <w:rFonts w:ascii="宋体" w:hAnsi="宋体" w:cs="宋体" w:hint="eastAsia"/>
          <w:sz w:val="24"/>
        </w:rPr>
        <w:t>标准制定计划于2016年9月正式下达，计划编号2016096</w:t>
      </w:r>
      <w:r w:rsidR="0067030A">
        <w:rPr>
          <w:rFonts w:ascii="宋体" w:hAnsi="宋体" w:cs="宋体"/>
          <w:sz w:val="24"/>
        </w:rPr>
        <w:t>9</w:t>
      </w:r>
      <w:r w:rsidR="0067030A">
        <w:rPr>
          <w:rFonts w:ascii="宋体" w:hAnsi="宋体" w:cs="宋体" w:hint="eastAsia"/>
          <w:sz w:val="24"/>
        </w:rPr>
        <w:t>-Q-339。</w:t>
      </w:r>
    </w:p>
    <w:p w14:paraId="0DD2776D" w14:textId="77777777" w:rsidR="0077711C" w:rsidRDefault="002A4619">
      <w:pPr>
        <w:tabs>
          <w:tab w:val="left" w:pos="1676"/>
        </w:tabs>
        <w:spacing w:line="360" w:lineRule="auto"/>
        <w:rPr>
          <w:rStyle w:val="af0"/>
          <w:sz w:val="24"/>
          <w:szCs w:val="28"/>
        </w:rPr>
      </w:pPr>
      <w:r>
        <w:rPr>
          <w:rStyle w:val="af0"/>
          <w:rFonts w:hint="eastAsia"/>
          <w:sz w:val="24"/>
          <w:szCs w:val="28"/>
        </w:rPr>
        <w:t>2</w:t>
      </w:r>
      <w:r>
        <w:rPr>
          <w:rStyle w:val="af0"/>
          <w:rFonts w:hint="eastAsia"/>
          <w:sz w:val="24"/>
          <w:szCs w:val="28"/>
        </w:rPr>
        <w:t>、主要工作过程</w:t>
      </w:r>
    </w:p>
    <w:p w14:paraId="5E3C366F" w14:textId="77777777" w:rsidR="00852148" w:rsidRDefault="00343A4E">
      <w:pPr>
        <w:tabs>
          <w:tab w:val="left" w:pos="1676"/>
        </w:tabs>
        <w:spacing w:line="360" w:lineRule="auto"/>
        <w:ind w:firstLineChars="200" w:firstLine="480"/>
        <w:rPr>
          <w:rFonts w:ascii="宋体" w:hAnsi="宋体" w:cs="宋体"/>
          <w:sz w:val="24"/>
        </w:rPr>
      </w:pPr>
      <w:r>
        <w:rPr>
          <w:rFonts w:ascii="宋体" w:hAnsi="宋体" w:cs="宋体" w:hint="eastAsia"/>
          <w:sz w:val="24"/>
        </w:rPr>
        <w:t>根据有关部门对电动汽车标准制定工作的要求，全国汽车标准化技术委员会电动车辆分技术委员会组织成立“电动汽车整车工作组”（以下简称工作组），系统开展电动汽车整车标准的制定工作。</w:t>
      </w:r>
    </w:p>
    <w:p w14:paraId="4701361D" w14:textId="77777777" w:rsidR="00343A4E" w:rsidRDefault="00343A4E" w:rsidP="00343A4E">
      <w:pPr>
        <w:tabs>
          <w:tab w:val="left" w:pos="1676"/>
        </w:tabs>
        <w:spacing w:line="360" w:lineRule="auto"/>
        <w:ind w:firstLineChars="200" w:firstLine="480"/>
        <w:rPr>
          <w:rFonts w:ascii="宋体" w:hAnsi="宋体" w:cs="宋体"/>
          <w:sz w:val="24"/>
        </w:rPr>
      </w:pPr>
      <w:r>
        <w:rPr>
          <w:rFonts w:ascii="宋体" w:hAnsi="宋体" w:cs="宋体" w:hint="eastAsia"/>
          <w:sz w:val="24"/>
        </w:rPr>
        <w:t>1）2016年8月，国标委启动了《电动汽车安全要求》、《电动客车安全技术条件》、《动力锂离子电池安全要求》三大强制标准立项；</w:t>
      </w:r>
    </w:p>
    <w:p w14:paraId="1485BEB2" w14:textId="77777777" w:rsidR="00343A4E" w:rsidRDefault="00343A4E" w:rsidP="0091074F">
      <w:pPr>
        <w:tabs>
          <w:tab w:val="left" w:pos="1676"/>
        </w:tabs>
        <w:spacing w:line="360" w:lineRule="auto"/>
        <w:ind w:firstLineChars="200" w:firstLine="480"/>
        <w:rPr>
          <w:rFonts w:ascii="宋体" w:hAnsi="宋体" w:cs="宋体"/>
          <w:sz w:val="24"/>
        </w:rPr>
      </w:pPr>
      <w:r>
        <w:rPr>
          <w:rFonts w:ascii="宋体" w:hAnsi="宋体" w:cs="宋体" w:hint="eastAsia"/>
          <w:sz w:val="24"/>
        </w:rPr>
        <w:t>2）2016年12月29日，在</w:t>
      </w:r>
      <w:r w:rsidR="0091074F">
        <w:rPr>
          <w:rFonts w:ascii="宋体" w:hAnsi="宋体" w:cs="宋体" w:hint="eastAsia"/>
          <w:sz w:val="24"/>
        </w:rPr>
        <w:t>南充举行的</w:t>
      </w:r>
      <w:r>
        <w:rPr>
          <w:rFonts w:ascii="宋体" w:hAnsi="宋体" w:cs="宋体" w:hint="eastAsia"/>
          <w:sz w:val="24"/>
        </w:rPr>
        <w:t>电动汽车整车工作组第三届第五次工作会议上，</w:t>
      </w:r>
      <w:r w:rsidR="00C26750">
        <w:rPr>
          <w:rFonts w:ascii="宋体" w:hAnsi="宋体" w:cs="宋体" w:hint="eastAsia"/>
          <w:sz w:val="24"/>
        </w:rPr>
        <w:t>组建了标准制定的核心工作组。并由起草组代表介绍了标准的背景、编制思路、大纲以及与相关标准的协调性关系</w:t>
      </w:r>
      <w:r>
        <w:rPr>
          <w:rFonts w:ascii="宋体" w:hAnsi="宋体" w:cs="宋体" w:hint="eastAsia"/>
          <w:sz w:val="24"/>
        </w:rPr>
        <w:t>；</w:t>
      </w:r>
    </w:p>
    <w:p w14:paraId="69F16311" w14:textId="77777777" w:rsidR="00343A4E" w:rsidRDefault="00343A4E" w:rsidP="00343A4E">
      <w:pPr>
        <w:tabs>
          <w:tab w:val="left" w:pos="1676"/>
        </w:tabs>
        <w:spacing w:line="360" w:lineRule="auto"/>
        <w:ind w:firstLineChars="200" w:firstLine="480"/>
        <w:rPr>
          <w:rFonts w:ascii="宋体" w:hAnsi="宋体" w:cs="宋体"/>
          <w:sz w:val="24"/>
        </w:rPr>
      </w:pPr>
      <w:r>
        <w:rPr>
          <w:rFonts w:ascii="宋体" w:hAnsi="宋体" w:cs="宋体" w:hint="eastAsia"/>
          <w:sz w:val="24"/>
        </w:rPr>
        <w:t>3）201</w:t>
      </w:r>
      <w:r w:rsidR="00C26750">
        <w:rPr>
          <w:rFonts w:ascii="宋体" w:hAnsi="宋体" w:cs="宋体" w:hint="eastAsia"/>
          <w:sz w:val="24"/>
        </w:rPr>
        <w:t>7</w:t>
      </w:r>
      <w:r>
        <w:rPr>
          <w:rFonts w:ascii="宋体" w:hAnsi="宋体" w:cs="宋体" w:hint="eastAsia"/>
          <w:sz w:val="24"/>
        </w:rPr>
        <w:t>年</w:t>
      </w:r>
      <w:r w:rsidR="00C26750">
        <w:rPr>
          <w:rFonts w:ascii="宋体" w:hAnsi="宋体" w:cs="宋体" w:hint="eastAsia"/>
          <w:sz w:val="24"/>
        </w:rPr>
        <w:t>2</w:t>
      </w:r>
      <w:r>
        <w:rPr>
          <w:rFonts w:ascii="宋体" w:hAnsi="宋体" w:cs="宋体" w:hint="eastAsia"/>
          <w:sz w:val="24"/>
        </w:rPr>
        <w:t>月</w:t>
      </w:r>
      <w:r w:rsidR="00C26750">
        <w:rPr>
          <w:rFonts w:ascii="宋体" w:hAnsi="宋体" w:cs="宋体" w:hint="eastAsia"/>
          <w:sz w:val="24"/>
        </w:rPr>
        <w:t>1</w:t>
      </w:r>
      <w:r>
        <w:rPr>
          <w:rFonts w:ascii="宋体" w:hAnsi="宋体" w:cs="宋体" w:hint="eastAsia"/>
          <w:sz w:val="24"/>
        </w:rPr>
        <w:t>日，</w:t>
      </w:r>
      <w:r w:rsidR="00C26750">
        <w:rPr>
          <w:rFonts w:ascii="宋体" w:hAnsi="宋体" w:cs="宋体" w:hint="eastAsia"/>
          <w:sz w:val="24"/>
        </w:rPr>
        <w:t>在工作组内部发布了初版工作组讨论稿草案，并在工作组内部进行了为期一个月的意见征求工作</w:t>
      </w:r>
      <w:r>
        <w:rPr>
          <w:rFonts w:ascii="宋体" w:hAnsi="宋体" w:cs="宋体" w:hint="eastAsia"/>
          <w:sz w:val="24"/>
        </w:rPr>
        <w:t>；</w:t>
      </w:r>
    </w:p>
    <w:p w14:paraId="6C726A0D" w14:textId="77777777" w:rsidR="00343A4E" w:rsidRPr="00A51356" w:rsidRDefault="00343A4E" w:rsidP="00343A4E">
      <w:pPr>
        <w:tabs>
          <w:tab w:val="left" w:pos="1676"/>
        </w:tabs>
        <w:spacing w:line="360" w:lineRule="auto"/>
        <w:ind w:firstLineChars="200" w:firstLine="480"/>
        <w:rPr>
          <w:rFonts w:ascii="宋体" w:hAnsi="宋体" w:cs="宋体"/>
          <w:sz w:val="24"/>
        </w:rPr>
      </w:pPr>
      <w:r>
        <w:rPr>
          <w:rFonts w:ascii="宋体" w:hAnsi="宋体" w:cs="宋体" w:hint="eastAsia"/>
          <w:sz w:val="24"/>
        </w:rPr>
        <w:t>4）201</w:t>
      </w:r>
      <w:r w:rsidR="0091074F">
        <w:rPr>
          <w:rFonts w:ascii="宋体" w:hAnsi="宋体" w:cs="宋体" w:hint="eastAsia"/>
          <w:sz w:val="24"/>
        </w:rPr>
        <w:t>7</w:t>
      </w:r>
      <w:r>
        <w:rPr>
          <w:rFonts w:ascii="宋体" w:hAnsi="宋体" w:cs="宋体" w:hint="eastAsia"/>
          <w:sz w:val="24"/>
        </w:rPr>
        <w:t>年</w:t>
      </w:r>
      <w:r w:rsidR="0091074F">
        <w:rPr>
          <w:rFonts w:ascii="宋体" w:hAnsi="宋体" w:cs="宋体" w:hint="eastAsia"/>
          <w:sz w:val="24"/>
        </w:rPr>
        <w:t>2</w:t>
      </w:r>
      <w:r>
        <w:rPr>
          <w:rFonts w:ascii="宋体" w:hAnsi="宋体" w:cs="宋体" w:hint="eastAsia"/>
          <w:sz w:val="24"/>
        </w:rPr>
        <w:t>月2</w:t>
      </w:r>
      <w:r w:rsidR="0091074F">
        <w:rPr>
          <w:rFonts w:ascii="宋体" w:hAnsi="宋体" w:cs="宋体" w:hint="eastAsia"/>
          <w:sz w:val="24"/>
        </w:rPr>
        <w:t>8</w:t>
      </w:r>
      <w:r>
        <w:rPr>
          <w:rFonts w:ascii="宋体" w:hAnsi="宋体" w:cs="宋体" w:hint="eastAsia"/>
          <w:sz w:val="24"/>
        </w:rPr>
        <w:t>日在</w:t>
      </w:r>
      <w:r w:rsidR="0091074F">
        <w:rPr>
          <w:rFonts w:ascii="宋体" w:hAnsi="宋体" w:cs="宋体" w:hint="eastAsia"/>
          <w:sz w:val="24"/>
        </w:rPr>
        <w:t>深圳举行了起草组讨论会，对初版讨论稿进行了修改和调整。并在2017年6月前进行了全国范围的意见征求</w:t>
      </w:r>
      <w:r>
        <w:rPr>
          <w:rFonts w:ascii="宋体" w:hAnsi="宋体" w:cs="宋体" w:hint="eastAsia"/>
          <w:sz w:val="24"/>
        </w:rPr>
        <w:t>；</w:t>
      </w:r>
    </w:p>
    <w:p w14:paraId="7C5B5D9E" w14:textId="77777777" w:rsidR="00343A4E" w:rsidRDefault="00343A4E" w:rsidP="00343A4E">
      <w:pPr>
        <w:tabs>
          <w:tab w:val="left" w:pos="1676"/>
        </w:tabs>
        <w:spacing w:line="360" w:lineRule="auto"/>
        <w:ind w:firstLineChars="200" w:firstLine="480"/>
        <w:rPr>
          <w:rFonts w:ascii="宋体" w:hAnsi="宋体" w:cs="宋体"/>
          <w:sz w:val="24"/>
        </w:rPr>
      </w:pPr>
      <w:r>
        <w:rPr>
          <w:rFonts w:ascii="宋体" w:hAnsi="宋体" w:cs="宋体" w:hint="eastAsia"/>
          <w:sz w:val="24"/>
        </w:rPr>
        <w:t>5）201</w:t>
      </w:r>
      <w:r w:rsidR="0091074F">
        <w:rPr>
          <w:rFonts w:ascii="宋体" w:hAnsi="宋体" w:cs="宋体" w:hint="eastAsia"/>
          <w:sz w:val="24"/>
        </w:rPr>
        <w:t>7</w:t>
      </w:r>
      <w:r>
        <w:rPr>
          <w:rFonts w:ascii="宋体" w:hAnsi="宋体" w:cs="宋体" w:hint="eastAsia"/>
          <w:sz w:val="24"/>
        </w:rPr>
        <w:t>年</w:t>
      </w:r>
      <w:r w:rsidR="0091074F">
        <w:rPr>
          <w:rFonts w:ascii="宋体" w:hAnsi="宋体" w:cs="宋体" w:hint="eastAsia"/>
          <w:sz w:val="24"/>
        </w:rPr>
        <w:t>6</w:t>
      </w:r>
      <w:r>
        <w:rPr>
          <w:rFonts w:ascii="宋体" w:hAnsi="宋体" w:cs="宋体" w:hint="eastAsia"/>
          <w:sz w:val="24"/>
        </w:rPr>
        <w:t>月</w:t>
      </w:r>
      <w:r w:rsidR="0091074F">
        <w:rPr>
          <w:rFonts w:ascii="宋体" w:hAnsi="宋体" w:cs="宋体" w:hint="eastAsia"/>
          <w:sz w:val="24"/>
        </w:rPr>
        <w:t>6</w:t>
      </w:r>
      <w:r>
        <w:rPr>
          <w:rFonts w:ascii="宋体" w:hAnsi="宋体" w:cs="宋体" w:hint="eastAsia"/>
          <w:sz w:val="24"/>
        </w:rPr>
        <w:t>日，</w:t>
      </w:r>
      <w:r w:rsidR="0091074F">
        <w:rPr>
          <w:rFonts w:ascii="宋体" w:hAnsi="宋体" w:cs="宋体" w:hint="eastAsia"/>
          <w:sz w:val="24"/>
        </w:rPr>
        <w:t>在株洲举行的电动汽车整车工作组第三届第六次工作会议上，对修改后的草案进行了逐条的解读和讨论</w:t>
      </w:r>
      <w:r>
        <w:rPr>
          <w:rFonts w:ascii="宋体" w:hAnsi="宋体" w:cs="宋体" w:hint="eastAsia"/>
          <w:sz w:val="24"/>
        </w:rPr>
        <w:t>；</w:t>
      </w:r>
    </w:p>
    <w:p w14:paraId="582381FD" w14:textId="77777777" w:rsidR="00343A4E" w:rsidRDefault="00343A4E" w:rsidP="00343A4E">
      <w:pPr>
        <w:tabs>
          <w:tab w:val="left" w:pos="1676"/>
        </w:tabs>
        <w:spacing w:line="360" w:lineRule="auto"/>
        <w:ind w:firstLineChars="200" w:firstLine="480"/>
        <w:rPr>
          <w:rFonts w:ascii="宋体" w:hAnsi="宋体" w:cs="宋体"/>
          <w:sz w:val="24"/>
        </w:rPr>
      </w:pPr>
      <w:r>
        <w:rPr>
          <w:rFonts w:ascii="宋体" w:hAnsi="宋体" w:cs="宋体" w:hint="eastAsia"/>
          <w:sz w:val="24"/>
        </w:rPr>
        <w:t>6）</w:t>
      </w:r>
      <w:r w:rsidR="0091074F">
        <w:rPr>
          <w:rFonts w:ascii="宋体" w:hAnsi="宋体" w:cs="宋体" w:hint="eastAsia"/>
          <w:sz w:val="24"/>
        </w:rPr>
        <w:t>2017</w:t>
      </w:r>
      <w:r>
        <w:rPr>
          <w:rFonts w:ascii="宋体" w:hAnsi="宋体" w:cs="宋体" w:hint="eastAsia"/>
          <w:sz w:val="24"/>
        </w:rPr>
        <w:t>年</w:t>
      </w:r>
      <w:r w:rsidR="0091074F">
        <w:rPr>
          <w:rFonts w:ascii="宋体" w:hAnsi="宋体" w:cs="宋体" w:hint="eastAsia"/>
          <w:sz w:val="24"/>
        </w:rPr>
        <w:t>6</w:t>
      </w:r>
      <w:r>
        <w:rPr>
          <w:rFonts w:ascii="宋体" w:hAnsi="宋体" w:cs="宋体" w:hint="eastAsia"/>
          <w:sz w:val="24"/>
        </w:rPr>
        <w:t>月-1</w:t>
      </w:r>
      <w:r w:rsidR="0091074F">
        <w:rPr>
          <w:rFonts w:ascii="宋体" w:hAnsi="宋体" w:cs="宋体" w:hint="eastAsia"/>
          <w:sz w:val="24"/>
        </w:rPr>
        <w:t>0</w:t>
      </w:r>
      <w:r>
        <w:rPr>
          <w:rFonts w:ascii="宋体" w:hAnsi="宋体" w:cs="宋体" w:hint="eastAsia"/>
          <w:sz w:val="24"/>
        </w:rPr>
        <w:t>月，</w:t>
      </w:r>
      <w:r w:rsidR="0091074F">
        <w:rPr>
          <w:rFonts w:ascii="宋体" w:hAnsi="宋体" w:cs="宋体" w:hint="eastAsia"/>
          <w:sz w:val="24"/>
        </w:rPr>
        <w:t>在行业内</w:t>
      </w:r>
      <w:r>
        <w:rPr>
          <w:rFonts w:ascii="宋体" w:hAnsi="宋体" w:cs="宋体" w:hint="eastAsia"/>
          <w:sz w:val="24"/>
        </w:rPr>
        <w:t>进行</w:t>
      </w:r>
      <w:r w:rsidR="0091074F">
        <w:rPr>
          <w:rFonts w:ascii="宋体" w:hAnsi="宋体" w:cs="宋体" w:hint="eastAsia"/>
          <w:sz w:val="24"/>
        </w:rPr>
        <w:t>广泛征求意见，并对草案进行了适当的调整</w:t>
      </w:r>
      <w:r>
        <w:rPr>
          <w:rFonts w:ascii="宋体" w:hAnsi="宋体" w:cs="宋体" w:hint="eastAsia"/>
          <w:sz w:val="24"/>
        </w:rPr>
        <w:t>。</w:t>
      </w:r>
    </w:p>
    <w:p w14:paraId="653EB008" w14:textId="77777777" w:rsidR="00343A4E" w:rsidRPr="0091074F" w:rsidRDefault="00343A4E" w:rsidP="0091074F">
      <w:pPr>
        <w:tabs>
          <w:tab w:val="left" w:pos="1676"/>
        </w:tabs>
        <w:spacing w:line="360" w:lineRule="auto"/>
        <w:ind w:firstLineChars="200" w:firstLine="480"/>
        <w:rPr>
          <w:rFonts w:ascii="宋体" w:hAnsi="宋体" w:cs="宋体"/>
          <w:sz w:val="24"/>
        </w:rPr>
      </w:pPr>
      <w:r>
        <w:rPr>
          <w:rFonts w:ascii="宋体" w:hAnsi="宋体" w:cs="宋体" w:hint="eastAsia"/>
          <w:sz w:val="24"/>
        </w:rPr>
        <w:t>7）201</w:t>
      </w:r>
      <w:r w:rsidR="0091074F">
        <w:rPr>
          <w:rFonts w:ascii="宋体" w:hAnsi="宋体" w:cs="宋体" w:hint="eastAsia"/>
          <w:sz w:val="24"/>
        </w:rPr>
        <w:t>7</w:t>
      </w:r>
      <w:r>
        <w:rPr>
          <w:rFonts w:ascii="宋体" w:hAnsi="宋体" w:cs="宋体" w:hint="eastAsia"/>
          <w:sz w:val="24"/>
        </w:rPr>
        <w:t>年1</w:t>
      </w:r>
      <w:r w:rsidR="0091074F">
        <w:rPr>
          <w:rFonts w:ascii="宋体" w:hAnsi="宋体" w:cs="宋体" w:hint="eastAsia"/>
          <w:sz w:val="24"/>
        </w:rPr>
        <w:t>0</w:t>
      </w:r>
      <w:r>
        <w:rPr>
          <w:rFonts w:ascii="宋体" w:hAnsi="宋体" w:cs="宋体" w:hint="eastAsia"/>
          <w:sz w:val="24"/>
        </w:rPr>
        <w:t>月</w:t>
      </w:r>
      <w:r w:rsidR="0091074F">
        <w:rPr>
          <w:rFonts w:ascii="宋体" w:hAnsi="宋体" w:cs="宋体" w:hint="eastAsia"/>
          <w:sz w:val="24"/>
        </w:rPr>
        <w:t>13</w:t>
      </w:r>
      <w:r>
        <w:rPr>
          <w:rFonts w:ascii="宋体" w:hAnsi="宋体" w:cs="宋体" w:hint="eastAsia"/>
          <w:sz w:val="24"/>
        </w:rPr>
        <w:t>日，</w:t>
      </w:r>
      <w:r w:rsidR="0091074F">
        <w:rPr>
          <w:rFonts w:ascii="宋体" w:hAnsi="宋体" w:cs="宋体" w:hint="eastAsia"/>
          <w:sz w:val="24"/>
        </w:rPr>
        <w:t>在天津举行的电动汽车整车工作组第三届第七次工作会议上，对争议问题进行了一一讨论并达成一致意见，基本形成征求意见稿草案</w:t>
      </w:r>
      <w:r>
        <w:rPr>
          <w:rFonts w:ascii="宋体" w:hAnsi="宋体" w:cs="宋体" w:hint="eastAsia"/>
          <w:sz w:val="24"/>
        </w:rPr>
        <w:t>。</w:t>
      </w:r>
    </w:p>
    <w:p w14:paraId="30F41D0A"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lastRenderedPageBreak/>
        <w:t>标准编制原则和主要内容</w:t>
      </w:r>
    </w:p>
    <w:p w14:paraId="200AE552" w14:textId="77777777" w:rsidR="0077711C" w:rsidRDefault="002A4619">
      <w:pPr>
        <w:tabs>
          <w:tab w:val="left" w:pos="1676"/>
        </w:tabs>
        <w:spacing w:line="360" w:lineRule="auto"/>
        <w:rPr>
          <w:rStyle w:val="af0"/>
          <w:sz w:val="24"/>
          <w:szCs w:val="28"/>
        </w:rPr>
      </w:pPr>
      <w:r>
        <w:rPr>
          <w:rStyle w:val="af0"/>
          <w:rFonts w:hint="eastAsia"/>
          <w:sz w:val="24"/>
          <w:szCs w:val="28"/>
        </w:rPr>
        <w:t>1</w:t>
      </w:r>
      <w:r>
        <w:rPr>
          <w:rStyle w:val="af0"/>
          <w:rFonts w:hint="eastAsia"/>
          <w:sz w:val="24"/>
          <w:szCs w:val="28"/>
        </w:rPr>
        <w:t>、编制原则</w:t>
      </w:r>
    </w:p>
    <w:p w14:paraId="5D0C48B7" w14:textId="77777777" w:rsidR="00537E0B" w:rsidRDefault="00537E0B" w:rsidP="00AA0D94">
      <w:pPr>
        <w:tabs>
          <w:tab w:val="left" w:pos="1676"/>
        </w:tabs>
        <w:spacing w:line="360" w:lineRule="auto"/>
        <w:ind w:firstLineChars="200" w:firstLine="480"/>
        <w:outlineLvl w:val="0"/>
        <w:rPr>
          <w:rFonts w:ascii="宋体" w:hAnsi="宋体" w:cs="宋体"/>
          <w:sz w:val="24"/>
        </w:rPr>
      </w:pPr>
      <w:r>
        <w:rPr>
          <w:rFonts w:ascii="宋体" w:hAnsi="宋体" w:cs="宋体" w:hint="eastAsia"/>
          <w:sz w:val="24"/>
        </w:rPr>
        <w:t>1</w:t>
      </w:r>
      <w:r w:rsidR="00EA5D8B">
        <w:rPr>
          <w:rFonts w:ascii="宋体" w:hAnsi="宋体" w:cs="宋体" w:hint="eastAsia"/>
          <w:sz w:val="24"/>
        </w:rPr>
        <w:t>）</w:t>
      </w:r>
      <w:r w:rsidR="006A5E50">
        <w:rPr>
          <w:rFonts w:ascii="宋体" w:hAnsi="宋体" w:cs="宋体" w:hint="eastAsia"/>
          <w:sz w:val="24"/>
        </w:rPr>
        <w:t>本标准编写符合GB/T1.1《标准化工作导则》的规定；</w:t>
      </w:r>
    </w:p>
    <w:p w14:paraId="3B4E6AB9" w14:textId="77777777" w:rsidR="00EA5D8B" w:rsidRDefault="00EA5D8B" w:rsidP="00537E0B">
      <w:pPr>
        <w:tabs>
          <w:tab w:val="left" w:pos="1676"/>
        </w:tabs>
        <w:spacing w:line="360" w:lineRule="auto"/>
        <w:ind w:firstLineChars="200" w:firstLine="480"/>
        <w:rPr>
          <w:rFonts w:ascii="宋体" w:hAnsi="宋体" w:cs="宋体"/>
          <w:sz w:val="24"/>
        </w:rPr>
      </w:pPr>
      <w:r>
        <w:rPr>
          <w:rFonts w:ascii="宋体" w:hAnsi="宋体" w:cs="宋体" w:hint="eastAsia"/>
          <w:sz w:val="24"/>
        </w:rPr>
        <w:t>2）工作组内企业对修订内容进行多次征求意见，并在会上充分讨论；</w:t>
      </w:r>
    </w:p>
    <w:p w14:paraId="4A6117AB" w14:textId="77777777" w:rsidR="00675177" w:rsidRDefault="00EA5D8B" w:rsidP="00675177">
      <w:pPr>
        <w:tabs>
          <w:tab w:val="left" w:pos="1676"/>
        </w:tabs>
        <w:spacing w:line="360" w:lineRule="auto"/>
        <w:ind w:firstLineChars="200" w:firstLine="480"/>
        <w:rPr>
          <w:rFonts w:ascii="宋体" w:hAnsi="宋体" w:cs="宋体"/>
          <w:sz w:val="24"/>
        </w:rPr>
      </w:pPr>
      <w:r>
        <w:rPr>
          <w:rFonts w:ascii="宋体" w:hAnsi="宋体" w:cs="宋体" w:hint="eastAsia"/>
          <w:sz w:val="24"/>
        </w:rPr>
        <w:t>3）起草过程，充分考虑国内外现有相关标准的统一和协调。</w:t>
      </w:r>
    </w:p>
    <w:p w14:paraId="09D5DA82" w14:textId="77777777" w:rsidR="00675177" w:rsidRPr="00675177" w:rsidRDefault="00675177" w:rsidP="00675177">
      <w:pPr>
        <w:tabs>
          <w:tab w:val="left" w:pos="1676"/>
        </w:tabs>
        <w:spacing w:line="360" w:lineRule="auto"/>
        <w:rPr>
          <w:rFonts w:ascii="宋体" w:hAnsi="宋体" w:cs="宋体"/>
          <w:sz w:val="24"/>
        </w:rPr>
      </w:pPr>
      <w:r>
        <w:rPr>
          <w:rFonts w:ascii="宋体" w:hAnsi="宋体" w:cs="宋体" w:hint="eastAsia"/>
          <w:sz w:val="24"/>
        </w:rPr>
        <w:t xml:space="preserve">    4) 标准的要求充分考虑今年来的安全事故经验以及国内当前的行业技术水平。</w:t>
      </w:r>
    </w:p>
    <w:p w14:paraId="6C2C6977" w14:textId="77777777" w:rsidR="0077711C" w:rsidRDefault="002A4619" w:rsidP="00AA0D94">
      <w:pPr>
        <w:tabs>
          <w:tab w:val="left" w:pos="1676"/>
        </w:tabs>
        <w:spacing w:line="360" w:lineRule="auto"/>
        <w:outlineLvl w:val="0"/>
        <w:rPr>
          <w:rFonts w:ascii="宋体" w:hAnsi="宋体" w:cs="宋体"/>
          <w:b/>
          <w:bCs/>
          <w:sz w:val="24"/>
        </w:rPr>
      </w:pPr>
      <w:r>
        <w:rPr>
          <w:rFonts w:ascii="宋体" w:hAnsi="宋体" w:cs="宋体" w:hint="eastAsia"/>
          <w:b/>
          <w:bCs/>
          <w:sz w:val="24"/>
        </w:rPr>
        <w:t>2、主要内容</w:t>
      </w:r>
    </w:p>
    <w:p w14:paraId="7ED6FBEE" w14:textId="77777777" w:rsidR="00570E37" w:rsidRPr="00570E37" w:rsidRDefault="00570E37" w:rsidP="00570E37">
      <w:pPr>
        <w:tabs>
          <w:tab w:val="left" w:pos="1676"/>
        </w:tabs>
        <w:spacing w:line="360" w:lineRule="auto"/>
        <w:ind w:firstLineChars="200" w:firstLine="480"/>
        <w:rPr>
          <w:rFonts w:ascii="宋体" w:hAnsi="宋体" w:cs="宋体"/>
          <w:sz w:val="24"/>
        </w:rPr>
      </w:pPr>
      <w:r w:rsidRPr="00570E37">
        <w:rPr>
          <w:rFonts w:ascii="宋体" w:hAnsi="宋体" w:cs="宋体" w:hint="eastAsia"/>
          <w:sz w:val="24"/>
        </w:rPr>
        <w:t>本标准</w:t>
      </w:r>
      <w:r w:rsidR="00675177" w:rsidRPr="00675177">
        <w:rPr>
          <w:rFonts w:ascii="宋体" w:hAnsi="宋体" w:cs="宋体" w:hint="eastAsia"/>
          <w:sz w:val="24"/>
        </w:rPr>
        <w:t>针对电动汽车所特有的危险规定了操作安全和故障防护的要求，并规定了电动汽车电力驱动系统和传导连接的辅助系统（如果有）防止车内和车外人员触电的要求。</w:t>
      </w:r>
    </w:p>
    <w:p w14:paraId="188BC37D" w14:textId="77777777" w:rsidR="00675177" w:rsidRPr="00675177" w:rsidRDefault="00675177" w:rsidP="00675177">
      <w:pPr>
        <w:tabs>
          <w:tab w:val="left" w:pos="1676"/>
        </w:tabs>
        <w:spacing w:line="360" w:lineRule="auto"/>
        <w:ind w:firstLineChars="200" w:firstLine="480"/>
        <w:rPr>
          <w:rFonts w:ascii="宋体" w:hAnsi="宋体" w:cs="宋体"/>
          <w:sz w:val="24"/>
        </w:rPr>
      </w:pPr>
      <w:r w:rsidRPr="00675177">
        <w:rPr>
          <w:rFonts w:ascii="宋体" w:hAnsi="宋体" w:cs="宋体" w:hint="eastAsia"/>
          <w:sz w:val="24"/>
        </w:rPr>
        <w:t xml:space="preserve">适用于车载驱动系统的最大工作电压是B级电压的电动汽车。 </w:t>
      </w:r>
    </w:p>
    <w:p w14:paraId="44D746C9" w14:textId="77777777" w:rsidR="009A13E0" w:rsidRPr="009A13E0" w:rsidRDefault="009A13E0" w:rsidP="009A13E0">
      <w:pPr>
        <w:tabs>
          <w:tab w:val="left" w:pos="1676"/>
        </w:tabs>
        <w:spacing w:line="360" w:lineRule="auto"/>
        <w:ind w:firstLineChars="200" w:firstLine="480"/>
        <w:rPr>
          <w:rFonts w:ascii="宋体" w:hAnsi="宋体" w:cs="宋体"/>
          <w:sz w:val="24"/>
        </w:rPr>
      </w:pPr>
      <w:r w:rsidRPr="009A13E0">
        <w:rPr>
          <w:rFonts w:ascii="宋体" w:hAnsi="宋体" w:cs="宋体" w:hint="eastAsia"/>
          <w:sz w:val="24"/>
        </w:rPr>
        <w:t>本标准不适用于非道路车辆，例如物料搬运车和叉车。</w:t>
      </w:r>
    </w:p>
    <w:p w14:paraId="11C36597" w14:textId="77777777" w:rsidR="009A13E0" w:rsidRPr="009A13E0" w:rsidRDefault="009A13E0" w:rsidP="009A13E0">
      <w:pPr>
        <w:tabs>
          <w:tab w:val="left" w:pos="1676"/>
        </w:tabs>
        <w:spacing w:line="360" w:lineRule="auto"/>
        <w:ind w:firstLineChars="200" w:firstLine="480"/>
        <w:rPr>
          <w:rFonts w:ascii="宋体" w:hAnsi="宋体" w:cs="宋体"/>
          <w:sz w:val="24"/>
        </w:rPr>
      </w:pPr>
      <w:r w:rsidRPr="009A13E0">
        <w:rPr>
          <w:rFonts w:ascii="宋体" w:hAnsi="宋体" w:cs="宋体" w:hint="eastAsia"/>
          <w:sz w:val="24"/>
        </w:rPr>
        <w:t>本标准不适用于行驶过程中持续与电网连接的道路车辆。</w:t>
      </w:r>
    </w:p>
    <w:p w14:paraId="101CF9CC" w14:textId="77777777" w:rsidR="00675177" w:rsidRPr="00675177" w:rsidRDefault="009A13E0" w:rsidP="009A13E0">
      <w:pPr>
        <w:tabs>
          <w:tab w:val="left" w:pos="1676"/>
        </w:tabs>
        <w:spacing w:line="360" w:lineRule="auto"/>
        <w:ind w:firstLineChars="200" w:firstLine="480"/>
        <w:rPr>
          <w:rFonts w:ascii="宋体" w:hAnsi="宋体" w:cs="宋体"/>
          <w:sz w:val="24"/>
        </w:rPr>
      </w:pPr>
      <w:r w:rsidRPr="009A13E0">
        <w:rPr>
          <w:rFonts w:ascii="宋体" w:hAnsi="宋体" w:cs="宋体" w:hint="eastAsia"/>
          <w:sz w:val="24"/>
        </w:rPr>
        <w:t>本标准不适用于指导电动汽车的装配、维护和修理。</w:t>
      </w:r>
    </w:p>
    <w:p w14:paraId="42A7B378" w14:textId="77777777" w:rsidR="0077711C" w:rsidRDefault="002A4619">
      <w:pPr>
        <w:tabs>
          <w:tab w:val="left" w:pos="1676"/>
        </w:tabs>
        <w:spacing w:line="360" w:lineRule="auto"/>
        <w:ind w:firstLineChars="200" w:firstLine="480"/>
        <w:rPr>
          <w:rFonts w:ascii="宋体" w:hAnsi="宋体" w:cs="宋体"/>
          <w:sz w:val="24"/>
        </w:rPr>
      </w:pPr>
      <w:r>
        <w:rPr>
          <w:rFonts w:ascii="宋体" w:hAnsi="宋体" w:cs="宋体" w:hint="eastAsia"/>
          <w:sz w:val="24"/>
        </w:rPr>
        <w:t>本标准主要技术内容如下：</w:t>
      </w:r>
    </w:p>
    <w:p w14:paraId="369CCA73" w14:textId="77777777" w:rsidR="00A111C3" w:rsidRDefault="00EC6BDE" w:rsidP="00A111C3">
      <w:pPr>
        <w:numPr>
          <w:ilvl w:val="0"/>
          <w:numId w:val="5"/>
        </w:numPr>
        <w:tabs>
          <w:tab w:val="left" w:pos="851"/>
        </w:tabs>
        <w:spacing w:line="360" w:lineRule="auto"/>
        <w:rPr>
          <w:rFonts w:ascii="宋体" w:hAnsi="宋体" w:cs="宋体"/>
          <w:sz w:val="24"/>
        </w:rPr>
      </w:pPr>
      <w:r>
        <w:rPr>
          <w:rFonts w:ascii="宋体" w:hAnsi="宋体" w:cs="宋体" w:hint="eastAsia"/>
          <w:sz w:val="24"/>
        </w:rPr>
        <w:t>高压安全标识</w:t>
      </w:r>
    </w:p>
    <w:p w14:paraId="45894D44" w14:textId="077BB2B7" w:rsidR="00A111C3" w:rsidRDefault="006D03DA" w:rsidP="009A13E0">
      <w:pPr>
        <w:spacing w:line="594" w:lineRule="exact"/>
        <w:ind w:firstLine="420"/>
        <w:rPr>
          <w:rFonts w:ascii="宋体" w:hAnsi="宋体" w:cs="宋体"/>
          <w:sz w:val="24"/>
        </w:rPr>
      </w:pPr>
      <w:r>
        <w:rPr>
          <w:rFonts w:ascii="宋体" w:hAnsi="宋体" w:cs="宋体" w:hint="eastAsia"/>
          <w:sz w:val="24"/>
        </w:rPr>
        <w:t>高压安全标识部分内容参考GB/T18384.3-2015《</w:t>
      </w:r>
      <w:r w:rsidRPr="006D03DA">
        <w:rPr>
          <w:rFonts w:ascii="宋体" w:hAnsi="宋体" w:cs="宋体" w:hint="eastAsia"/>
          <w:sz w:val="24"/>
        </w:rPr>
        <w:t>电动汽车 安全要求</w:t>
      </w:r>
      <w:r w:rsidR="00EE5187">
        <w:rPr>
          <w:rFonts w:ascii="宋体" w:hAnsi="宋体" w:cs="宋体" w:hint="eastAsia"/>
          <w:sz w:val="24"/>
        </w:rPr>
        <w:t xml:space="preserve"> </w:t>
      </w:r>
      <w:r w:rsidRPr="006D03DA">
        <w:rPr>
          <w:rFonts w:ascii="宋体" w:hAnsi="宋体" w:cs="宋体" w:hint="eastAsia"/>
          <w:sz w:val="24"/>
        </w:rPr>
        <w:t>第3部分：人员触电防护</w:t>
      </w:r>
      <w:r>
        <w:rPr>
          <w:rFonts w:ascii="宋体" w:hAnsi="宋体" w:cs="宋体" w:hint="eastAsia"/>
          <w:sz w:val="24"/>
        </w:rPr>
        <w:t>》以及该标准的第1号修改单中5.1章节，并且该部分的要求与EVS-GTR</w:t>
      </w:r>
      <w:r w:rsidR="009B10B0">
        <w:rPr>
          <w:rFonts w:ascii="宋体" w:hAnsi="宋体" w:cs="宋体" w:hint="eastAsia"/>
          <w:sz w:val="24"/>
        </w:rPr>
        <w:t>中防止直接接触部分5.1.1.1.4标记章节的要求在本质上是一致的</w:t>
      </w:r>
      <w:r w:rsidR="00EE5187">
        <w:rPr>
          <w:rFonts w:ascii="宋体" w:hAnsi="宋体" w:cs="宋体" w:hint="eastAsia"/>
          <w:sz w:val="24"/>
        </w:rPr>
        <w:t>，</w:t>
      </w:r>
      <w:r w:rsidR="009B10B0">
        <w:rPr>
          <w:rFonts w:ascii="宋体" w:hAnsi="宋体" w:cs="宋体" w:hint="eastAsia"/>
          <w:sz w:val="24"/>
        </w:rPr>
        <w:t>即警示用户在贴有该标识的遮拦或者外壳后存在会对人体造成伤害的B级电压</w:t>
      </w:r>
      <w:r w:rsidR="00EE5187">
        <w:rPr>
          <w:rFonts w:ascii="宋体" w:hAnsi="宋体" w:cs="宋体" w:hint="eastAsia"/>
          <w:sz w:val="24"/>
        </w:rPr>
        <w:t>，目前草案中警示符号与EVS-GTR</w:t>
      </w:r>
      <w:r w:rsidR="00EE5187">
        <w:rPr>
          <w:rFonts w:ascii="宋体" w:hAnsi="宋体" w:cs="宋体"/>
          <w:sz w:val="24"/>
        </w:rPr>
        <w:t xml:space="preserve"> </w:t>
      </w:r>
      <w:r w:rsidR="00EE5187">
        <w:rPr>
          <w:rFonts w:ascii="宋体" w:hAnsi="宋体" w:cs="宋体" w:hint="eastAsia"/>
          <w:sz w:val="24"/>
        </w:rPr>
        <w:t>形式一致，但编制过程中，也有企业表示目前国内</w:t>
      </w:r>
      <w:r w:rsidR="002574C3">
        <w:rPr>
          <w:rFonts w:ascii="宋体" w:hAnsi="宋体" w:cs="宋体" w:hint="eastAsia"/>
          <w:sz w:val="24"/>
        </w:rPr>
        <w:t>现行</w:t>
      </w:r>
      <w:r w:rsidR="00EE5187">
        <w:rPr>
          <w:rFonts w:ascii="宋体" w:hAnsi="宋体" w:cs="宋体" w:hint="eastAsia"/>
          <w:sz w:val="24"/>
        </w:rPr>
        <w:t>的标准都</w:t>
      </w:r>
      <w:r w:rsidR="002574C3">
        <w:rPr>
          <w:rFonts w:ascii="宋体" w:hAnsi="宋体" w:cs="宋体" w:hint="eastAsia"/>
          <w:sz w:val="24"/>
        </w:rPr>
        <w:t>采用</w:t>
      </w:r>
      <w:r w:rsidR="00EE5187">
        <w:rPr>
          <w:rFonts w:ascii="宋体" w:hAnsi="宋体" w:cs="宋体" w:hint="eastAsia"/>
          <w:sz w:val="24"/>
        </w:rPr>
        <w:t>与</w:t>
      </w:r>
      <w:r w:rsidR="00EE5187">
        <w:rPr>
          <w:rFonts w:ascii="宋体" w:hAnsi="宋体" w:cs="宋体" w:hint="eastAsia"/>
          <w:sz w:val="24"/>
        </w:rPr>
        <w:t>GB/T</w:t>
      </w:r>
      <w:r w:rsidR="00573AE1">
        <w:rPr>
          <w:rFonts w:ascii="宋体" w:hAnsi="宋体" w:cs="宋体"/>
          <w:sz w:val="24"/>
        </w:rPr>
        <w:t xml:space="preserve"> </w:t>
      </w:r>
      <w:r w:rsidR="00EE5187">
        <w:rPr>
          <w:rFonts w:ascii="宋体" w:hAnsi="宋体" w:cs="宋体" w:hint="eastAsia"/>
          <w:sz w:val="24"/>
        </w:rPr>
        <w:t>18384.3-2015</w:t>
      </w:r>
      <w:r w:rsidR="00EE5187">
        <w:rPr>
          <w:rFonts w:ascii="宋体" w:hAnsi="宋体" w:cs="宋体" w:hint="eastAsia"/>
          <w:sz w:val="24"/>
        </w:rPr>
        <w:t>一致</w:t>
      </w:r>
      <w:r w:rsidR="002574C3">
        <w:rPr>
          <w:rFonts w:ascii="宋体" w:hAnsi="宋体" w:cs="宋体" w:hint="eastAsia"/>
          <w:sz w:val="24"/>
        </w:rPr>
        <w:t>的符号</w:t>
      </w:r>
      <w:r w:rsidR="00EE5187">
        <w:rPr>
          <w:rFonts w:ascii="宋体" w:hAnsi="宋体" w:cs="宋体" w:hint="eastAsia"/>
          <w:sz w:val="24"/>
        </w:rPr>
        <w:t>，关于这一点将在征求意见阶段继续讨论</w:t>
      </w:r>
      <w:r w:rsidR="009B10B0">
        <w:rPr>
          <w:rFonts w:ascii="宋体" w:hAnsi="宋体" w:cs="宋体" w:hint="eastAsia"/>
          <w:sz w:val="24"/>
        </w:rPr>
        <w:t>。此外，高压电线标记要求与</w:t>
      </w:r>
      <w:r>
        <w:rPr>
          <w:rFonts w:ascii="宋体" w:hAnsi="宋体" w:cs="宋体" w:hint="eastAsia"/>
          <w:sz w:val="24"/>
        </w:rPr>
        <w:t xml:space="preserve"> </w:t>
      </w:r>
      <w:r w:rsidR="009B10B0">
        <w:rPr>
          <w:rFonts w:ascii="宋体" w:hAnsi="宋体" w:cs="宋体" w:hint="eastAsia"/>
          <w:sz w:val="24"/>
        </w:rPr>
        <w:t>GB/T</w:t>
      </w:r>
      <w:r w:rsidR="00EE5187">
        <w:rPr>
          <w:rFonts w:ascii="宋体" w:hAnsi="宋体" w:cs="宋体"/>
          <w:sz w:val="24"/>
        </w:rPr>
        <w:t xml:space="preserve"> </w:t>
      </w:r>
      <w:r w:rsidR="009B10B0">
        <w:rPr>
          <w:rFonts w:ascii="宋体" w:hAnsi="宋体" w:cs="宋体" w:hint="eastAsia"/>
          <w:sz w:val="24"/>
        </w:rPr>
        <w:t>18384.3-2015《</w:t>
      </w:r>
      <w:r w:rsidR="009B10B0" w:rsidRPr="006D03DA">
        <w:rPr>
          <w:rFonts w:ascii="宋体" w:hAnsi="宋体" w:cs="宋体" w:hint="eastAsia"/>
          <w:sz w:val="24"/>
        </w:rPr>
        <w:t>电动汽车 安全要求第3部分：人员触电防护</w:t>
      </w:r>
      <w:r w:rsidR="009B10B0">
        <w:rPr>
          <w:rFonts w:ascii="宋体" w:hAnsi="宋体" w:cs="宋体" w:hint="eastAsia"/>
          <w:sz w:val="24"/>
        </w:rPr>
        <w:t>》中5.2章节以及EVS-GTR中</w:t>
      </w:r>
      <w:r w:rsidR="009B10B0" w:rsidRPr="002E0776">
        <w:rPr>
          <w:rFonts w:ascii="宋体" w:hAnsi="宋体" w:cs="宋体"/>
          <w:sz w:val="24"/>
        </w:rPr>
        <w:t>5.1.1.1.4.3.章节一致</w:t>
      </w:r>
      <w:r w:rsidR="009B10B0" w:rsidRPr="002E0776">
        <w:rPr>
          <w:rFonts w:ascii="宋体" w:hAnsi="宋体" w:cs="宋体" w:hint="eastAsia"/>
          <w:sz w:val="24"/>
        </w:rPr>
        <w:t>，</w:t>
      </w:r>
      <w:r w:rsidR="009B10B0" w:rsidRPr="002E0776">
        <w:rPr>
          <w:rFonts w:ascii="宋体" w:hAnsi="宋体" w:cs="宋体"/>
          <w:sz w:val="24"/>
        </w:rPr>
        <w:t>其中考虑到GB</w:t>
      </w:r>
      <w:r w:rsidR="009B10B0" w:rsidRPr="002E0776">
        <w:rPr>
          <w:rFonts w:ascii="宋体" w:hAnsi="宋体" w:cs="宋体" w:hint="eastAsia"/>
          <w:sz w:val="24"/>
        </w:rPr>
        <w:t>/T</w:t>
      </w:r>
      <w:r w:rsidR="00EE5187">
        <w:rPr>
          <w:rFonts w:ascii="宋体" w:hAnsi="宋体" w:cs="宋体"/>
          <w:sz w:val="24"/>
        </w:rPr>
        <w:t xml:space="preserve"> </w:t>
      </w:r>
      <w:r w:rsidR="009B10B0" w:rsidRPr="002E0776">
        <w:rPr>
          <w:rFonts w:ascii="宋体" w:hAnsi="宋体" w:cs="宋体" w:hint="eastAsia"/>
          <w:sz w:val="24"/>
        </w:rPr>
        <w:t>18384.3-2015中5.2章节提出的高压连接器的区分</w:t>
      </w:r>
      <w:r w:rsidR="009B10B0" w:rsidRPr="002E0776">
        <w:rPr>
          <w:rFonts w:ascii="宋体" w:hAnsi="宋体" w:cs="宋体" w:hint="eastAsia"/>
          <w:sz w:val="24"/>
        </w:rPr>
        <w:lastRenderedPageBreak/>
        <w:t>方法并非设计要求</w:t>
      </w:r>
      <w:r w:rsidR="002E0776" w:rsidRPr="002E0776">
        <w:rPr>
          <w:rFonts w:ascii="宋体" w:hAnsi="宋体" w:cs="宋体" w:hint="eastAsia"/>
          <w:sz w:val="24"/>
        </w:rPr>
        <w:t>，故在本强标中删除。</w:t>
      </w:r>
    </w:p>
    <w:p w14:paraId="3F66111B" w14:textId="77777777" w:rsidR="0077711C" w:rsidRDefault="002E0776" w:rsidP="00BE3F4E">
      <w:pPr>
        <w:numPr>
          <w:ilvl w:val="0"/>
          <w:numId w:val="5"/>
        </w:numPr>
        <w:tabs>
          <w:tab w:val="left" w:pos="851"/>
        </w:tabs>
        <w:spacing w:line="360" w:lineRule="auto"/>
        <w:rPr>
          <w:rFonts w:ascii="宋体" w:hAnsi="宋体" w:cs="宋体"/>
          <w:sz w:val="24"/>
        </w:rPr>
      </w:pPr>
      <w:r>
        <w:rPr>
          <w:rFonts w:ascii="宋体" w:hAnsi="宋体" w:cs="宋体" w:hint="eastAsia"/>
          <w:sz w:val="24"/>
        </w:rPr>
        <w:t>遮拦和外壳要求</w:t>
      </w:r>
    </w:p>
    <w:p w14:paraId="49AB05C2" w14:textId="77777777" w:rsidR="00A00CF1" w:rsidRDefault="00F77478" w:rsidP="00A3640A">
      <w:pPr>
        <w:spacing w:line="360" w:lineRule="auto"/>
        <w:ind w:firstLine="420"/>
        <w:rPr>
          <w:rFonts w:ascii="宋体" w:hAnsi="宋体" w:cs="宋体"/>
          <w:sz w:val="24"/>
        </w:rPr>
      </w:pPr>
      <w:r>
        <w:rPr>
          <w:rFonts w:ascii="宋体" w:hAnsi="宋体" w:cs="宋体"/>
          <w:sz w:val="24"/>
        </w:rPr>
        <w:t>本草案中</w:t>
      </w:r>
      <w:r>
        <w:rPr>
          <w:rFonts w:ascii="宋体" w:hAnsi="宋体" w:cs="宋体" w:hint="eastAsia"/>
          <w:sz w:val="24"/>
        </w:rPr>
        <w:t>5.1.2.1关于遮拦/外壳章节的内容综合了GB/T18384.3-2015《</w:t>
      </w:r>
      <w:r w:rsidRPr="006D03DA">
        <w:rPr>
          <w:rFonts w:ascii="宋体" w:hAnsi="宋体" w:cs="宋体" w:hint="eastAsia"/>
          <w:sz w:val="24"/>
        </w:rPr>
        <w:t>电动汽车 安全要求第3部分：人员触电防护</w:t>
      </w:r>
      <w:r>
        <w:rPr>
          <w:rFonts w:ascii="宋体" w:hAnsi="宋体" w:cs="宋体" w:hint="eastAsia"/>
          <w:sz w:val="24"/>
        </w:rPr>
        <w:t>》6.6章节以及EVS-GTR中5.1.1.1章节的要求。对于遮拦和外壳提出了两个方面的要求。第一，对于遮拦和外壳的IP防护等级的要求。若布置在乘客舱或者行李舱内，</w:t>
      </w:r>
      <w:bookmarkStart w:id="0" w:name="OLE_LINK4"/>
      <w:bookmarkStart w:id="1" w:name="OLE_LINK5"/>
      <w:r w:rsidRPr="00F77478">
        <w:rPr>
          <w:rFonts w:ascii="宋体" w:hAnsi="宋体" w:cs="宋体" w:hint="eastAsia"/>
          <w:sz w:val="24"/>
        </w:rPr>
        <w:t>满足IPXXD防护等级要求</w:t>
      </w:r>
      <w:bookmarkEnd w:id="0"/>
      <w:bookmarkEnd w:id="1"/>
      <w:r w:rsidRPr="00F77478">
        <w:rPr>
          <w:rFonts w:ascii="宋体" w:hAnsi="宋体" w:cs="宋体" w:hint="eastAsia"/>
          <w:sz w:val="24"/>
        </w:rPr>
        <w:t>。而乘客舱、货舱外仅需满足IPXXB防护等级要求；</w:t>
      </w:r>
      <w:r>
        <w:rPr>
          <w:rFonts w:ascii="宋体" w:hAnsi="宋体" w:cs="宋体" w:hint="eastAsia"/>
          <w:sz w:val="24"/>
        </w:rPr>
        <w:t>第二，对于遮拦和外壳的拆卸防护要求。通常情况，仅通过使用工具才能够打开。但是，若遮拦和外壳进行了高压互锁设计处理，在打开遮拦和外壳后1s内，B级电压电路能主动</w:t>
      </w:r>
      <w:r w:rsidR="00A3640A">
        <w:rPr>
          <w:rFonts w:ascii="宋体" w:hAnsi="宋体" w:cs="宋体" w:hint="eastAsia"/>
          <w:sz w:val="24"/>
        </w:rPr>
        <w:t>断电，B级电路电压跌落到30Va.c./60Vd.c.或B级电路残余总电量小于0.2J，则此遮拦或外壳才允许在不使用工具的情况下打开。相比较于EVS-GTR，本强标草案中增加了遮拦和外壳进行高压互锁设计的情况，安全设计方法包含的更加全面。</w:t>
      </w:r>
    </w:p>
    <w:p w14:paraId="4108D239" w14:textId="77777777" w:rsidR="00A3640A" w:rsidRDefault="00262399" w:rsidP="00A3640A">
      <w:pPr>
        <w:spacing w:line="360" w:lineRule="auto"/>
        <w:ind w:firstLine="420"/>
        <w:rPr>
          <w:rFonts w:ascii="宋体" w:hAnsi="宋体" w:cs="宋体"/>
          <w:sz w:val="24"/>
        </w:rPr>
      </w:pPr>
      <w:r>
        <w:rPr>
          <w:rFonts w:ascii="宋体" w:hAnsi="宋体" w:cs="宋体" w:hint="eastAsia"/>
          <w:sz w:val="24"/>
        </w:rPr>
        <w:t>3) 连接器要求</w:t>
      </w:r>
    </w:p>
    <w:p w14:paraId="0A759A05" w14:textId="77777777" w:rsidR="00036098" w:rsidRDefault="00262399" w:rsidP="00A3640A">
      <w:pPr>
        <w:spacing w:line="360" w:lineRule="auto"/>
        <w:ind w:firstLine="420"/>
        <w:rPr>
          <w:rFonts w:ascii="宋体" w:hAnsi="宋体" w:cs="宋体"/>
          <w:sz w:val="24"/>
        </w:rPr>
      </w:pPr>
      <w:r>
        <w:rPr>
          <w:rFonts w:ascii="宋体" w:hAnsi="宋体" w:cs="宋体" w:hint="eastAsia"/>
          <w:sz w:val="24"/>
        </w:rPr>
        <w:t>本草案中5.1.2.2关于连接器的相关要求在引用EVS-GTR中5.1.1.1章节关于连接器要求的基础上进行了调整。</w:t>
      </w:r>
      <w:r w:rsidR="00036098">
        <w:rPr>
          <w:rFonts w:ascii="宋体" w:hAnsi="宋体" w:cs="宋体" w:hint="eastAsia"/>
          <w:sz w:val="24"/>
        </w:rPr>
        <w:t>对于连接器的安全设计,有四种安全设计方法可选：</w:t>
      </w:r>
    </w:p>
    <w:p w14:paraId="5CA265F7" w14:textId="77777777" w:rsidR="00036098" w:rsidRDefault="00036098" w:rsidP="00A3640A">
      <w:pPr>
        <w:spacing w:line="360" w:lineRule="auto"/>
        <w:ind w:firstLine="420"/>
        <w:rPr>
          <w:rFonts w:ascii="宋体" w:hAnsi="宋体" w:cs="宋体"/>
          <w:sz w:val="24"/>
        </w:rPr>
      </w:pPr>
      <w:r>
        <w:rPr>
          <w:rFonts w:ascii="宋体" w:hAnsi="宋体" w:cs="宋体" w:hint="eastAsia"/>
          <w:sz w:val="24"/>
        </w:rPr>
        <w:t>方法1，连接器使用工具才能够打开，例如连接器两端的护套通过螺栓固定在一起的；</w:t>
      </w:r>
    </w:p>
    <w:p w14:paraId="5D2E9EC1" w14:textId="77777777" w:rsidR="00036098" w:rsidRDefault="00036098" w:rsidP="00A3640A">
      <w:pPr>
        <w:spacing w:line="360" w:lineRule="auto"/>
        <w:ind w:firstLine="420"/>
        <w:rPr>
          <w:rFonts w:ascii="宋体" w:hAnsi="宋体" w:cs="宋体"/>
          <w:sz w:val="24"/>
        </w:rPr>
      </w:pPr>
      <w:r>
        <w:rPr>
          <w:rFonts w:ascii="宋体" w:hAnsi="宋体" w:cs="宋体" w:hint="eastAsia"/>
          <w:sz w:val="24"/>
        </w:rPr>
        <w:t>方法2，高压连接器在分开后，应满足IPXXB的防护等级要求。该项要求在EVS-GTR的基础上进行了调整。在EVS-GTR中“对于布置在乘客舱或行李舱内的连接器在分开时，要求满足IPXXD的防护等级要求”</w:t>
      </w:r>
      <w:r w:rsidR="007C42EB">
        <w:rPr>
          <w:rFonts w:ascii="宋体" w:hAnsi="宋体" w:cs="宋体" w:hint="eastAsia"/>
          <w:sz w:val="24"/>
        </w:rPr>
        <w:t>。调整的依据是</w:t>
      </w:r>
      <w:r>
        <w:rPr>
          <w:rFonts w:ascii="宋体" w:hAnsi="宋体" w:cs="宋体" w:hint="eastAsia"/>
          <w:sz w:val="24"/>
        </w:rPr>
        <w:t>目前行业上尚不存在分开后能达到IPXXD防护等级的连接器。且分开后满足IPXXB的防触指防护等级要求即可实现在正常使用过程中的基本电安全防护。</w:t>
      </w:r>
    </w:p>
    <w:p w14:paraId="608D2CC6" w14:textId="77777777" w:rsidR="007C42EB" w:rsidRDefault="007C42EB" w:rsidP="00A3640A">
      <w:pPr>
        <w:spacing w:line="360" w:lineRule="auto"/>
        <w:ind w:firstLine="420"/>
        <w:rPr>
          <w:rFonts w:ascii="宋体" w:hAnsi="宋体" w:cs="宋体"/>
          <w:sz w:val="24"/>
        </w:rPr>
      </w:pPr>
      <w:r>
        <w:rPr>
          <w:rFonts w:ascii="宋体" w:hAnsi="宋体" w:cs="宋体" w:hint="eastAsia"/>
          <w:sz w:val="24"/>
        </w:rPr>
        <w:t>方法3，虽然连接器自身在不使用工具的前提下可以打开，但是连接器自身至少需要两个不同的动作才能打开。例如，连接器有锁扣结构，或者螺纹紧固结构。此外，在连接器外有某种机械结构与之存在机械关联，该机械结构必须使用工具才能够打开，并且只有该机械结构打开后，才能够通过至少两个动作将连接器从相互的对接端打开。</w:t>
      </w:r>
    </w:p>
    <w:p w14:paraId="22FB9FE4" w14:textId="77777777" w:rsidR="007C42EB" w:rsidRDefault="007C42EB" w:rsidP="007C42EB">
      <w:pPr>
        <w:spacing w:line="360" w:lineRule="auto"/>
        <w:ind w:firstLine="420"/>
        <w:rPr>
          <w:rFonts w:ascii="宋体" w:hAnsi="宋体" w:cs="宋体"/>
          <w:sz w:val="24"/>
        </w:rPr>
      </w:pPr>
      <w:r>
        <w:rPr>
          <w:rFonts w:ascii="宋体" w:hAnsi="宋体" w:cs="宋体" w:hint="eastAsia"/>
          <w:sz w:val="24"/>
        </w:rPr>
        <w:t>方法4，高压连接器在分开后1s内，带电部分的电压能够跌落到30Va.c.或</w:t>
      </w:r>
      <w:r>
        <w:rPr>
          <w:rFonts w:ascii="宋体" w:hAnsi="宋体" w:cs="宋体" w:hint="eastAsia"/>
          <w:sz w:val="24"/>
        </w:rPr>
        <w:lastRenderedPageBreak/>
        <w:t>者60Vd.c.的安全电压。</w:t>
      </w:r>
      <w:r w:rsidR="00810343">
        <w:rPr>
          <w:rFonts w:ascii="宋体" w:hAnsi="宋体" w:cs="宋体" w:hint="eastAsia"/>
          <w:sz w:val="24"/>
        </w:rPr>
        <w:t>其中，1s是人手拔开连接器到手指触摸到连接器中端子的连贯动作最短时间。</w:t>
      </w:r>
    </w:p>
    <w:p w14:paraId="2A31C040" w14:textId="77777777" w:rsidR="00DC00CD" w:rsidRDefault="00DC00CD" w:rsidP="007C42EB">
      <w:pPr>
        <w:spacing w:line="360" w:lineRule="auto"/>
        <w:ind w:firstLine="420"/>
        <w:rPr>
          <w:rFonts w:ascii="宋体" w:hAnsi="宋体" w:cs="宋体"/>
          <w:sz w:val="24"/>
        </w:rPr>
      </w:pPr>
      <w:r>
        <w:rPr>
          <w:rFonts w:ascii="宋体" w:hAnsi="宋体" w:cs="宋体" w:hint="eastAsia"/>
          <w:sz w:val="24"/>
        </w:rPr>
        <w:t>上述4种方法之一均视为满足本标准的安全要求。</w:t>
      </w:r>
    </w:p>
    <w:p w14:paraId="51A92998" w14:textId="77777777" w:rsidR="00463716" w:rsidRDefault="00463716" w:rsidP="00463716">
      <w:pPr>
        <w:spacing w:line="360" w:lineRule="auto"/>
        <w:ind w:firstLine="420"/>
        <w:rPr>
          <w:rFonts w:ascii="宋体" w:hAnsi="宋体" w:cs="宋体"/>
          <w:sz w:val="24"/>
        </w:rPr>
      </w:pPr>
      <w:r>
        <w:rPr>
          <w:rFonts w:ascii="宋体" w:hAnsi="宋体" w:cs="宋体" w:hint="eastAsia"/>
          <w:sz w:val="24"/>
        </w:rPr>
        <w:t>4) 维修断开装置要求</w:t>
      </w:r>
    </w:p>
    <w:p w14:paraId="61AD9DF5" w14:textId="77777777" w:rsidR="00C90879" w:rsidRDefault="00A61912" w:rsidP="00463716">
      <w:pPr>
        <w:spacing w:line="360" w:lineRule="auto"/>
        <w:ind w:firstLine="420"/>
        <w:rPr>
          <w:rFonts w:ascii="宋体" w:hAnsi="宋体" w:cs="宋体"/>
          <w:sz w:val="24"/>
        </w:rPr>
      </w:pPr>
      <w:r>
        <w:rPr>
          <w:rFonts w:ascii="宋体" w:hAnsi="宋体" w:cs="宋体" w:hint="eastAsia"/>
          <w:sz w:val="24"/>
        </w:rPr>
        <w:t>本标准对是否安装维修开关装置不做</w:t>
      </w:r>
      <w:r w:rsidR="00220994">
        <w:rPr>
          <w:rFonts w:ascii="宋体" w:hAnsi="宋体" w:cs="宋体" w:hint="eastAsia"/>
          <w:sz w:val="24"/>
        </w:rPr>
        <w:t>强制要求</w:t>
      </w:r>
      <w:r w:rsidR="00020C01">
        <w:rPr>
          <w:rFonts w:ascii="宋体" w:hAnsi="宋体" w:cs="宋体" w:hint="eastAsia"/>
          <w:sz w:val="24"/>
        </w:rPr>
        <w:t>。</w:t>
      </w:r>
      <w:r w:rsidR="00B01DD7">
        <w:rPr>
          <w:rFonts w:ascii="宋体" w:hAnsi="宋体" w:cs="宋体" w:hint="eastAsia"/>
          <w:sz w:val="24"/>
        </w:rPr>
        <w:t>在维修断开装置分离后，带电部分IPXXB的防护等级要求或者1s内的断电要求均能够起到防止人员无意地与B级带电部分的直接接触，达到保护人员安全的目的。</w:t>
      </w:r>
    </w:p>
    <w:p w14:paraId="5C91B5DD" w14:textId="77777777" w:rsidR="00463716" w:rsidRDefault="00463716" w:rsidP="00463716">
      <w:pPr>
        <w:spacing w:line="360" w:lineRule="auto"/>
        <w:ind w:firstLine="420"/>
        <w:rPr>
          <w:rFonts w:ascii="宋体" w:hAnsi="宋体" w:cs="宋体"/>
          <w:sz w:val="24"/>
        </w:rPr>
      </w:pPr>
      <w:r>
        <w:rPr>
          <w:rFonts w:ascii="宋体" w:hAnsi="宋体" w:cs="宋体" w:hint="eastAsia"/>
          <w:sz w:val="24"/>
        </w:rPr>
        <w:t>5) 充电插座</w:t>
      </w:r>
      <w:r w:rsidR="008A390A">
        <w:rPr>
          <w:rFonts w:ascii="宋体" w:hAnsi="宋体" w:cs="宋体" w:hint="eastAsia"/>
          <w:sz w:val="24"/>
        </w:rPr>
        <w:t>直接接触防护</w:t>
      </w:r>
      <w:r>
        <w:rPr>
          <w:rFonts w:ascii="宋体" w:hAnsi="宋体" w:cs="宋体" w:hint="eastAsia"/>
          <w:sz w:val="24"/>
        </w:rPr>
        <w:t>要求</w:t>
      </w:r>
    </w:p>
    <w:p w14:paraId="5CFAD4C5" w14:textId="77777777" w:rsidR="00463716" w:rsidRDefault="00463716" w:rsidP="007C42EB">
      <w:pPr>
        <w:spacing w:line="360" w:lineRule="auto"/>
        <w:ind w:firstLine="420"/>
        <w:rPr>
          <w:rFonts w:ascii="宋体" w:hAnsi="宋体" w:cs="宋体"/>
          <w:sz w:val="24"/>
        </w:rPr>
      </w:pPr>
      <w:r>
        <w:rPr>
          <w:rFonts w:ascii="宋体" w:hAnsi="宋体" w:cs="宋体" w:hint="eastAsia"/>
          <w:sz w:val="24"/>
        </w:rPr>
        <w:t>充电插座的要求要求参考GB/T18384.3-2015《</w:t>
      </w:r>
      <w:r w:rsidRPr="006D03DA">
        <w:rPr>
          <w:rFonts w:ascii="宋体" w:hAnsi="宋体" w:cs="宋体" w:hint="eastAsia"/>
          <w:sz w:val="24"/>
        </w:rPr>
        <w:t>电动汽车 安全要求第3部分：人员触电防护</w:t>
      </w:r>
      <w:r>
        <w:rPr>
          <w:rFonts w:ascii="宋体" w:hAnsi="宋体" w:cs="宋体" w:hint="eastAsia"/>
          <w:sz w:val="24"/>
        </w:rPr>
        <w:t>》中6.10.1章节的要求。</w:t>
      </w:r>
      <w:r w:rsidR="00D244DB">
        <w:rPr>
          <w:rFonts w:ascii="宋体" w:hAnsi="宋体" w:cs="宋体" w:hint="eastAsia"/>
          <w:sz w:val="24"/>
        </w:rPr>
        <w:t>本标准草案中两种方法</w:t>
      </w:r>
      <w:r w:rsidR="00BD0774">
        <w:rPr>
          <w:rFonts w:ascii="宋体" w:hAnsi="宋体" w:cs="宋体" w:hint="eastAsia"/>
          <w:sz w:val="24"/>
        </w:rPr>
        <w:t>均视作满足标准</w:t>
      </w:r>
      <w:r w:rsidR="00B123D5">
        <w:rPr>
          <w:rFonts w:ascii="宋体" w:hAnsi="宋体" w:cs="宋体" w:hint="eastAsia"/>
          <w:sz w:val="24"/>
        </w:rPr>
        <w:t>要求。</w:t>
      </w:r>
      <w:r w:rsidR="00D244DB">
        <w:rPr>
          <w:rFonts w:ascii="宋体" w:hAnsi="宋体" w:cs="宋体" w:hint="eastAsia"/>
          <w:sz w:val="24"/>
        </w:rPr>
        <w:t>方法1是通过拔枪后1s内，充电插座高压端子能够“断电”，断电要求与GB/T18384.3-2015中6.3.4要求一致。方法2是充电插座的端子能够满足IPXXB的</w:t>
      </w:r>
      <w:r w:rsidR="008076A5">
        <w:rPr>
          <w:rFonts w:ascii="宋体" w:hAnsi="宋体" w:cs="宋体" w:hint="eastAsia"/>
          <w:sz w:val="24"/>
        </w:rPr>
        <w:t>防护等级要求，为了避免充电插座持续带B级电压</w:t>
      </w:r>
      <w:r w:rsidR="00D244DB">
        <w:rPr>
          <w:rFonts w:ascii="宋体" w:hAnsi="宋体" w:cs="宋体" w:hint="eastAsia"/>
          <w:sz w:val="24"/>
        </w:rPr>
        <w:t>的风险，充电插座增加了充电枪断开后1min内断电的要求</w:t>
      </w:r>
      <w:r w:rsidR="008076A5">
        <w:rPr>
          <w:rFonts w:ascii="宋体" w:hAnsi="宋体" w:cs="宋体" w:hint="eastAsia"/>
          <w:sz w:val="24"/>
        </w:rPr>
        <w:t>。1min断电要求是在电动汽车整车工作组三届六次会议上根据国内各企业充电口断电时间的反馈信息统一要求的。</w:t>
      </w:r>
    </w:p>
    <w:p w14:paraId="1DC18294" w14:textId="77777777" w:rsidR="008076A5" w:rsidRDefault="008076A5" w:rsidP="008076A5">
      <w:pPr>
        <w:spacing w:line="360" w:lineRule="auto"/>
        <w:ind w:firstLine="420"/>
        <w:rPr>
          <w:rFonts w:ascii="宋体" w:hAnsi="宋体" w:cs="宋体"/>
          <w:sz w:val="24"/>
        </w:rPr>
      </w:pPr>
      <w:r>
        <w:rPr>
          <w:rFonts w:ascii="宋体" w:hAnsi="宋体" w:cs="宋体" w:hint="eastAsia"/>
          <w:sz w:val="24"/>
        </w:rPr>
        <w:t>6) 绝缘电阻要求</w:t>
      </w:r>
    </w:p>
    <w:p w14:paraId="23BB28A8" w14:textId="77777777" w:rsidR="008076A5" w:rsidRDefault="008076A5" w:rsidP="008076A5">
      <w:pPr>
        <w:spacing w:line="360" w:lineRule="auto"/>
        <w:ind w:firstLine="420"/>
        <w:rPr>
          <w:rFonts w:ascii="宋体" w:hAnsi="宋体" w:cs="宋体"/>
          <w:sz w:val="24"/>
        </w:rPr>
      </w:pPr>
      <w:r>
        <w:rPr>
          <w:rFonts w:ascii="宋体" w:hAnsi="宋体" w:cs="宋体" w:hint="eastAsia"/>
          <w:sz w:val="24"/>
        </w:rPr>
        <w:t>绝缘电阻要求参考EVS-GTR</w:t>
      </w:r>
      <w:r w:rsidR="00664F27">
        <w:rPr>
          <w:rFonts w:ascii="宋体" w:hAnsi="宋体" w:cs="宋体" w:hint="eastAsia"/>
          <w:sz w:val="24"/>
        </w:rPr>
        <w:t>中5.1.1.2.4章节要求。</w:t>
      </w:r>
      <w:r w:rsidR="00156DFC">
        <w:rPr>
          <w:rFonts w:ascii="宋体" w:hAnsi="宋体" w:cs="宋体" w:hint="eastAsia"/>
          <w:sz w:val="24"/>
        </w:rPr>
        <w:t>对于纯直流电路，绝缘电阻应大于100Ω/V，对于纯交流电路，绝缘电阻应大于500Ω/V。对于交流和直流传导耦合连接时，绝缘电阻应大于500Ω/V</w:t>
      </w:r>
      <w:r w:rsidR="00B93AAF">
        <w:rPr>
          <w:rFonts w:ascii="宋体" w:hAnsi="宋体" w:cs="宋体" w:hint="eastAsia"/>
          <w:sz w:val="24"/>
        </w:rPr>
        <w:t>。考虑到当前燃料电池存在的技术瓶颈，实现燃料电池汽车整车500Ω/V绝缘电阻存在困难。参考EVS-GTR中5.1.1.2.4.3对于燃料电池绝缘电阻要求以及</w:t>
      </w:r>
      <w:r w:rsidR="00B014B0">
        <w:rPr>
          <w:rFonts w:ascii="宋体" w:hAnsi="宋体" w:cs="宋体" w:hint="eastAsia"/>
          <w:sz w:val="24"/>
        </w:rPr>
        <w:t>GB/T18384.3-2015中6.7.2章节选择2，对于交流部分电路有附加防护的燃料电池汽车，最小绝缘电阻的要求可降低为100Ω/V。</w:t>
      </w:r>
    </w:p>
    <w:p w14:paraId="5E13740B" w14:textId="77777777" w:rsidR="008076A5" w:rsidRDefault="008076A5" w:rsidP="008076A5">
      <w:pPr>
        <w:spacing w:line="360" w:lineRule="auto"/>
        <w:ind w:firstLine="420"/>
        <w:rPr>
          <w:rFonts w:ascii="宋体" w:hAnsi="宋体" w:cs="宋体"/>
          <w:sz w:val="24"/>
        </w:rPr>
      </w:pPr>
      <w:r>
        <w:rPr>
          <w:rFonts w:ascii="宋体" w:hAnsi="宋体" w:cs="宋体" w:hint="eastAsia"/>
          <w:sz w:val="24"/>
        </w:rPr>
        <w:t>7) 绝缘电阻监测要求</w:t>
      </w:r>
    </w:p>
    <w:p w14:paraId="2B57C0FC" w14:textId="55B0A99C" w:rsidR="006B3AB3" w:rsidRDefault="00896AB6" w:rsidP="00896AB6">
      <w:pPr>
        <w:spacing w:line="360" w:lineRule="auto"/>
        <w:ind w:firstLine="420"/>
        <w:rPr>
          <w:rFonts w:ascii="宋体" w:hAnsi="宋体" w:cs="宋体"/>
          <w:sz w:val="24"/>
        </w:rPr>
      </w:pPr>
      <w:r>
        <w:rPr>
          <w:rFonts w:ascii="宋体" w:hAnsi="宋体" w:cs="宋体" w:hint="eastAsia"/>
          <w:sz w:val="24"/>
        </w:rPr>
        <w:t>在GB/T18384.3-2015中，绝缘电阻是作为绝缘电阻安全要求中的一项可选项。但考虑到中国道路积水严重的国情，存在较大的绝缘电阻下降，整车漏电的风险。所以在本标准中，</w:t>
      </w:r>
      <w:r w:rsidR="001F77B0">
        <w:rPr>
          <w:rFonts w:ascii="宋体" w:hAnsi="宋体" w:cs="宋体" w:hint="eastAsia"/>
          <w:sz w:val="24"/>
        </w:rPr>
        <w:t>绝缘电阻监测要求</w:t>
      </w:r>
      <w:r>
        <w:rPr>
          <w:rFonts w:ascii="宋体" w:hAnsi="宋体" w:cs="宋体" w:hint="eastAsia"/>
          <w:sz w:val="24"/>
        </w:rPr>
        <w:t>也</w:t>
      </w:r>
      <w:r w:rsidR="001F77B0">
        <w:rPr>
          <w:rFonts w:ascii="宋体" w:hAnsi="宋体" w:cs="宋体" w:hint="eastAsia"/>
          <w:sz w:val="24"/>
        </w:rPr>
        <w:t>参照GB7258-2017，</w:t>
      </w:r>
      <w:r>
        <w:rPr>
          <w:rFonts w:ascii="宋体" w:hAnsi="宋体" w:cs="宋体" w:hint="eastAsia"/>
          <w:sz w:val="24"/>
        </w:rPr>
        <w:t>强制要求</w:t>
      </w:r>
      <w:r w:rsidR="001F77B0">
        <w:rPr>
          <w:rFonts w:ascii="宋体" w:hAnsi="宋体" w:cs="宋体" w:hint="eastAsia"/>
          <w:sz w:val="24"/>
        </w:rPr>
        <w:t>在整车绝缘电阻低于5.1.3.1要求时，应通过一个明显的信号（例如：声或光信号）装置提醒驾驶人。</w:t>
      </w:r>
      <w:bookmarkStart w:id="2" w:name="_GoBack"/>
      <w:bookmarkEnd w:id="2"/>
    </w:p>
    <w:p w14:paraId="6093481B" w14:textId="77777777" w:rsidR="008076A5" w:rsidRDefault="00B014B0" w:rsidP="008076A5">
      <w:pPr>
        <w:spacing w:line="360" w:lineRule="auto"/>
        <w:ind w:firstLine="420"/>
        <w:rPr>
          <w:rFonts w:ascii="宋体" w:hAnsi="宋体" w:cs="宋体"/>
          <w:sz w:val="24"/>
        </w:rPr>
      </w:pPr>
      <w:r>
        <w:rPr>
          <w:rFonts w:ascii="宋体" w:hAnsi="宋体" w:cs="宋体" w:hint="eastAsia"/>
          <w:sz w:val="24"/>
        </w:rPr>
        <w:lastRenderedPageBreak/>
        <w:t>8</w:t>
      </w:r>
      <w:r w:rsidR="008076A5">
        <w:rPr>
          <w:rFonts w:ascii="宋体" w:hAnsi="宋体" w:cs="宋体" w:hint="eastAsia"/>
          <w:sz w:val="24"/>
        </w:rPr>
        <w:t>) 电位均衡要求</w:t>
      </w:r>
    </w:p>
    <w:p w14:paraId="0D42155E" w14:textId="77777777" w:rsidR="008A390A" w:rsidRDefault="009E6E08" w:rsidP="008076A5">
      <w:pPr>
        <w:spacing w:line="360" w:lineRule="auto"/>
        <w:ind w:firstLine="420"/>
        <w:rPr>
          <w:rFonts w:ascii="宋体" w:hAnsi="宋体" w:cs="宋体"/>
          <w:sz w:val="24"/>
        </w:rPr>
      </w:pPr>
      <w:r>
        <w:rPr>
          <w:rFonts w:ascii="宋体" w:hAnsi="宋体" w:cs="宋体" w:hint="eastAsia"/>
          <w:sz w:val="24"/>
        </w:rPr>
        <w:t>电位均衡要求完全参考EVS-GTR中5.1.1.2.2章节要求。</w:t>
      </w:r>
    </w:p>
    <w:p w14:paraId="3B3A7DA8" w14:textId="77777777" w:rsidR="00F85F3D" w:rsidRDefault="00F85F3D" w:rsidP="00F85F3D">
      <w:pPr>
        <w:spacing w:line="360" w:lineRule="auto"/>
        <w:ind w:firstLine="420"/>
        <w:rPr>
          <w:rFonts w:ascii="宋体" w:hAnsi="宋体" w:cs="宋体"/>
          <w:sz w:val="24"/>
        </w:rPr>
      </w:pPr>
      <w:r>
        <w:rPr>
          <w:rFonts w:ascii="宋体" w:hAnsi="宋体" w:cs="宋体" w:hint="eastAsia"/>
          <w:sz w:val="24"/>
        </w:rPr>
        <w:t>9) 直流电容耦合要求</w:t>
      </w:r>
    </w:p>
    <w:p w14:paraId="4DF36CF3" w14:textId="77777777" w:rsidR="00F85F3D" w:rsidRDefault="00F85F3D" w:rsidP="00F85F3D">
      <w:pPr>
        <w:spacing w:line="360" w:lineRule="auto"/>
        <w:ind w:firstLine="420"/>
        <w:rPr>
          <w:rFonts w:ascii="宋体" w:hAnsi="宋体" w:cs="宋体"/>
          <w:sz w:val="24"/>
        </w:rPr>
      </w:pPr>
      <w:r>
        <w:rPr>
          <w:rFonts w:ascii="宋体" w:hAnsi="宋体" w:cs="宋体" w:hint="eastAsia"/>
          <w:sz w:val="24"/>
        </w:rPr>
        <w:t>考虑到整车电容耦合要求测量的可操作性，电容耦合仅</w:t>
      </w:r>
      <w:r w:rsidR="00A64483">
        <w:rPr>
          <w:rFonts w:ascii="宋体" w:hAnsi="宋体" w:cs="宋体" w:hint="eastAsia"/>
          <w:sz w:val="24"/>
        </w:rPr>
        <w:t>保留了</w:t>
      </w:r>
      <w:r>
        <w:rPr>
          <w:rFonts w:ascii="宋体" w:hAnsi="宋体" w:cs="宋体" w:hint="eastAsia"/>
          <w:sz w:val="24"/>
        </w:rPr>
        <w:t>直流电流耦合的设计要求，明确了</w:t>
      </w:r>
      <w:r w:rsidR="00A64483">
        <w:rPr>
          <w:rFonts w:ascii="宋体" w:hAnsi="宋体" w:cs="宋体" w:hint="eastAsia"/>
          <w:sz w:val="24"/>
        </w:rPr>
        <w:t>符合性评估算法。</w:t>
      </w:r>
    </w:p>
    <w:p w14:paraId="0EA774BB" w14:textId="77777777" w:rsidR="00B014B0" w:rsidRDefault="00F85F3D" w:rsidP="00B014B0">
      <w:pPr>
        <w:spacing w:line="360" w:lineRule="auto"/>
        <w:ind w:firstLine="420"/>
        <w:rPr>
          <w:rFonts w:ascii="宋体" w:hAnsi="宋体" w:cs="宋体"/>
          <w:sz w:val="24"/>
        </w:rPr>
      </w:pPr>
      <w:r>
        <w:rPr>
          <w:rFonts w:ascii="宋体" w:hAnsi="宋体" w:cs="宋体" w:hint="eastAsia"/>
          <w:sz w:val="24"/>
        </w:rPr>
        <w:t>10</w:t>
      </w:r>
      <w:r w:rsidR="00B014B0">
        <w:rPr>
          <w:rFonts w:ascii="宋体" w:hAnsi="宋体" w:cs="宋体" w:hint="eastAsia"/>
          <w:sz w:val="24"/>
        </w:rPr>
        <w:t xml:space="preserve">) </w:t>
      </w:r>
      <w:r w:rsidR="008A390A">
        <w:rPr>
          <w:rFonts w:ascii="宋体" w:hAnsi="宋体" w:cs="宋体" w:hint="eastAsia"/>
          <w:sz w:val="24"/>
        </w:rPr>
        <w:t>充电插座间接接触防护</w:t>
      </w:r>
      <w:r w:rsidR="00B014B0">
        <w:rPr>
          <w:rFonts w:ascii="宋体" w:hAnsi="宋体" w:cs="宋体" w:hint="eastAsia"/>
          <w:sz w:val="24"/>
        </w:rPr>
        <w:t>要求</w:t>
      </w:r>
    </w:p>
    <w:p w14:paraId="4935E43A" w14:textId="77777777" w:rsidR="008076A5" w:rsidRPr="00EB2E0D" w:rsidRDefault="009E6E08" w:rsidP="00EB2E0D">
      <w:pPr>
        <w:spacing w:line="360" w:lineRule="auto"/>
        <w:ind w:firstLine="420"/>
        <w:rPr>
          <w:rFonts w:ascii="宋体" w:hAnsi="宋体" w:cs="宋体"/>
          <w:sz w:val="24"/>
        </w:rPr>
      </w:pPr>
      <w:r>
        <w:rPr>
          <w:rFonts w:ascii="宋体" w:hAnsi="宋体" w:cs="宋体" w:hint="eastAsia"/>
          <w:sz w:val="24"/>
        </w:rPr>
        <w:t>充电插座间接接触防护要求参考GB/T18384.3-2015中6.10.2章节要求。对于传导连接到电网的充电插座，例如国标交流充电的车辆充电插座，应有一个引脚保证车辆电平台与电位接地</w:t>
      </w:r>
      <w:r w:rsidR="00EB2E0D">
        <w:rPr>
          <w:rFonts w:ascii="宋体" w:hAnsi="宋体" w:cs="宋体" w:hint="eastAsia"/>
          <w:sz w:val="24"/>
        </w:rPr>
        <w:t>部分连接，且充电接口的绝缘电阻大于1MΩ。对于非传导连接到电网的充电插座，例如国标直流充电的车辆充电插座，应有一个引脚保证车辆电平台与充电设备的保护接地（PE相连），且充电接口的绝缘电阻满足绝缘电阻部分的要求。</w:t>
      </w:r>
    </w:p>
    <w:p w14:paraId="33816B0C" w14:textId="77777777" w:rsidR="009E6E08" w:rsidRDefault="00EB2E0D" w:rsidP="00EB2E0D">
      <w:pPr>
        <w:spacing w:line="360" w:lineRule="auto"/>
        <w:ind w:firstLine="420"/>
        <w:rPr>
          <w:rFonts w:ascii="宋体" w:hAnsi="宋体" w:cs="宋体"/>
          <w:sz w:val="24"/>
        </w:rPr>
      </w:pPr>
      <w:r>
        <w:rPr>
          <w:rFonts w:ascii="宋体" w:hAnsi="宋体" w:cs="宋体" w:hint="eastAsia"/>
          <w:sz w:val="24"/>
        </w:rPr>
        <w:t>1</w:t>
      </w:r>
      <w:r w:rsidR="00F85F3D">
        <w:rPr>
          <w:rFonts w:ascii="宋体" w:hAnsi="宋体" w:cs="宋体" w:hint="eastAsia"/>
          <w:sz w:val="24"/>
        </w:rPr>
        <w:t>1</w:t>
      </w:r>
      <w:r w:rsidR="009E6E08">
        <w:rPr>
          <w:rFonts w:ascii="宋体" w:hAnsi="宋体" w:cs="宋体" w:hint="eastAsia"/>
          <w:sz w:val="24"/>
        </w:rPr>
        <w:t>) 防水要求</w:t>
      </w:r>
    </w:p>
    <w:p w14:paraId="06F48D5F" w14:textId="77777777" w:rsidR="009E6E08" w:rsidRPr="00896AB6" w:rsidRDefault="00131DBB" w:rsidP="001F77B0">
      <w:pPr>
        <w:spacing w:line="360" w:lineRule="auto"/>
        <w:ind w:firstLine="420"/>
        <w:rPr>
          <w:rFonts w:ascii="宋体" w:hAnsi="宋体" w:cs="宋体"/>
          <w:sz w:val="24"/>
        </w:rPr>
      </w:pPr>
      <w:r w:rsidRPr="00896AB6">
        <w:rPr>
          <w:rFonts w:ascii="宋体" w:hAnsi="宋体" w:cs="宋体" w:hint="eastAsia"/>
          <w:sz w:val="24"/>
        </w:rPr>
        <w:t>防水要求</w:t>
      </w:r>
      <w:r w:rsidR="00661119" w:rsidRPr="00896AB6">
        <w:rPr>
          <w:rFonts w:ascii="宋体" w:hAnsi="宋体" w:cs="宋体" w:hint="eastAsia"/>
          <w:sz w:val="24"/>
        </w:rPr>
        <w:t>主要参考</w:t>
      </w:r>
      <w:r w:rsidR="008B0CB4" w:rsidRPr="00896AB6">
        <w:rPr>
          <w:rFonts w:ascii="宋体" w:hAnsi="宋体" w:cs="宋体" w:hint="eastAsia"/>
          <w:sz w:val="24"/>
        </w:rPr>
        <w:t>EVS-GTR中5.1.1.3章节要求。</w:t>
      </w:r>
      <w:r w:rsidR="00644246" w:rsidRPr="00896AB6">
        <w:rPr>
          <w:rFonts w:ascii="宋体" w:hAnsi="宋体" w:cs="宋体" w:hint="eastAsia"/>
          <w:sz w:val="24"/>
        </w:rPr>
        <w:t>整车厂可以按照附件A中的要求提供零部件的防水报告，若提供的防水报告对应的防水等级更严格，也视作满足要求。若提供的证明材料不满足要求，则整车厂可按照推荐的试验方法进行零部件防水试验进行验证。或者整车厂也可选择按照6.5进行整车模拟洗车和涉水试验，若能够通过试验，整车绝缘电阻满足5.1.3.1的要求，则视作</w:t>
      </w:r>
      <w:r w:rsidR="001F77B0" w:rsidRPr="00896AB6">
        <w:rPr>
          <w:rFonts w:ascii="宋体" w:hAnsi="宋体" w:cs="宋体" w:hint="eastAsia"/>
          <w:sz w:val="24"/>
        </w:rPr>
        <w:t>整车满足本标准防水性能要求。</w:t>
      </w:r>
      <w:r w:rsidR="00E546C6" w:rsidRPr="00896AB6">
        <w:rPr>
          <w:rFonts w:ascii="宋体" w:hAnsi="宋体" w:cs="宋体" w:hint="eastAsia"/>
          <w:sz w:val="24"/>
        </w:rPr>
        <w:t>本标准防水要求</w:t>
      </w:r>
      <w:r w:rsidR="00661119" w:rsidRPr="00896AB6">
        <w:rPr>
          <w:rFonts w:ascii="宋体" w:hAnsi="宋体" w:cs="宋体" w:hint="eastAsia"/>
          <w:sz w:val="24"/>
        </w:rPr>
        <w:t>与EVS-GTR的区别在于，EVS-GTR中</w:t>
      </w:r>
      <w:r w:rsidR="007F215C" w:rsidRPr="00896AB6">
        <w:rPr>
          <w:rFonts w:ascii="宋体" w:hAnsi="宋体" w:cs="宋体" w:hint="eastAsia"/>
          <w:sz w:val="24"/>
        </w:rPr>
        <w:t>符合一定条件的</w:t>
      </w:r>
      <w:r w:rsidR="00E546C6" w:rsidRPr="00896AB6">
        <w:rPr>
          <w:rFonts w:ascii="宋体" w:hAnsi="宋体" w:cs="宋体" w:hint="eastAsia"/>
          <w:sz w:val="24"/>
        </w:rPr>
        <w:t>绝缘电阻监测</w:t>
      </w:r>
      <w:r w:rsidR="007F215C" w:rsidRPr="00896AB6">
        <w:rPr>
          <w:rFonts w:ascii="宋体" w:hAnsi="宋体" w:cs="宋体" w:hint="eastAsia"/>
          <w:sz w:val="24"/>
        </w:rPr>
        <w:t>功能也可以替代整车防水试验，而本标准中绝缘电阻监测是强制性满足</w:t>
      </w:r>
      <w:r w:rsidR="00E546C6" w:rsidRPr="00896AB6">
        <w:rPr>
          <w:rFonts w:ascii="宋体" w:hAnsi="宋体" w:cs="宋体" w:hint="eastAsia"/>
          <w:sz w:val="24"/>
        </w:rPr>
        <w:t>要求，不能作为6.5整车模拟洗车和涉水试验的替代满足要求。</w:t>
      </w:r>
    </w:p>
    <w:p w14:paraId="6EE0191A" w14:textId="77777777" w:rsidR="00810343" w:rsidRDefault="001F77B0" w:rsidP="001F77B0">
      <w:pPr>
        <w:spacing w:line="360" w:lineRule="auto"/>
        <w:ind w:firstLine="420"/>
        <w:rPr>
          <w:rFonts w:ascii="宋体" w:hAnsi="宋体" w:cs="宋体"/>
          <w:sz w:val="24"/>
        </w:rPr>
      </w:pPr>
      <w:r>
        <w:rPr>
          <w:rFonts w:ascii="宋体" w:hAnsi="宋体" w:cs="宋体" w:hint="eastAsia"/>
          <w:sz w:val="24"/>
        </w:rPr>
        <w:t>1</w:t>
      </w:r>
      <w:r w:rsidR="00F85F3D">
        <w:rPr>
          <w:rFonts w:ascii="宋体" w:hAnsi="宋体" w:cs="宋体" w:hint="eastAsia"/>
          <w:sz w:val="24"/>
        </w:rPr>
        <w:t>2</w:t>
      </w:r>
      <w:r>
        <w:rPr>
          <w:rFonts w:ascii="宋体" w:hAnsi="宋体" w:cs="宋体" w:hint="eastAsia"/>
          <w:sz w:val="24"/>
        </w:rPr>
        <w:t>)</w:t>
      </w:r>
      <w:r w:rsidR="00810343">
        <w:rPr>
          <w:rFonts w:ascii="宋体" w:hAnsi="宋体" w:cs="宋体" w:hint="eastAsia"/>
          <w:sz w:val="24"/>
        </w:rPr>
        <w:t xml:space="preserve"> 驱动系统电源接通和断开程序</w:t>
      </w:r>
    </w:p>
    <w:p w14:paraId="262FDF00" w14:textId="77777777" w:rsidR="001F77B0" w:rsidRDefault="001F77B0" w:rsidP="001F77B0">
      <w:pPr>
        <w:spacing w:line="360" w:lineRule="auto"/>
        <w:ind w:firstLine="420"/>
        <w:rPr>
          <w:rFonts w:ascii="宋体" w:hAnsi="宋体" w:cs="宋体"/>
          <w:sz w:val="24"/>
        </w:rPr>
      </w:pPr>
      <w:r>
        <w:rPr>
          <w:rFonts w:ascii="宋体" w:hAnsi="宋体" w:cs="宋体" w:hint="eastAsia"/>
          <w:sz w:val="24"/>
        </w:rPr>
        <w:t xml:space="preserve"> 驱动系统</w:t>
      </w:r>
      <w:r w:rsidR="009974BF">
        <w:rPr>
          <w:rFonts w:ascii="宋体" w:hAnsi="宋体" w:cs="宋体" w:hint="eastAsia"/>
          <w:sz w:val="24"/>
        </w:rPr>
        <w:t>电源</w:t>
      </w:r>
      <w:r>
        <w:rPr>
          <w:rFonts w:ascii="宋体" w:hAnsi="宋体" w:cs="宋体" w:hint="eastAsia"/>
          <w:sz w:val="24"/>
        </w:rPr>
        <w:t>接通和断开程序</w:t>
      </w:r>
      <w:r w:rsidR="000E61F6">
        <w:rPr>
          <w:rFonts w:ascii="宋体" w:hAnsi="宋体" w:cs="宋体" w:hint="eastAsia"/>
          <w:sz w:val="24"/>
        </w:rPr>
        <w:t>参考GB/T18384.</w:t>
      </w:r>
      <w:r w:rsidR="003200BB">
        <w:rPr>
          <w:rFonts w:ascii="宋体" w:hAnsi="宋体" w:cs="宋体" w:hint="eastAsia"/>
          <w:sz w:val="24"/>
        </w:rPr>
        <w:t>2</w:t>
      </w:r>
      <w:r w:rsidR="000E61F6">
        <w:rPr>
          <w:rFonts w:ascii="宋体" w:hAnsi="宋体" w:cs="宋体" w:hint="eastAsia"/>
          <w:sz w:val="24"/>
        </w:rPr>
        <w:t>-2015中4.1和4.5</w:t>
      </w:r>
      <w:r w:rsidR="000E0021">
        <w:rPr>
          <w:rFonts w:ascii="宋体" w:hAnsi="宋体" w:cs="宋体" w:hint="eastAsia"/>
          <w:sz w:val="24"/>
        </w:rPr>
        <w:t>的要求</w:t>
      </w:r>
      <w:r w:rsidR="00D402BE">
        <w:rPr>
          <w:rFonts w:ascii="宋体" w:hAnsi="宋体" w:cs="宋体" w:hint="eastAsia"/>
          <w:sz w:val="24"/>
        </w:rPr>
        <w:t>，且与EVS-GTR中5.1.2.1和5.1.2.2的要求一致。</w:t>
      </w:r>
      <w:r w:rsidR="009974BF">
        <w:rPr>
          <w:rFonts w:ascii="宋体" w:hAnsi="宋体" w:cs="宋体" w:hint="eastAsia"/>
          <w:sz w:val="24"/>
        </w:rPr>
        <w:t>其中对与驱动系统电源接通和断开的程序可以参考附录B，但不局限于附录B中的程序设计。</w:t>
      </w:r>
    </w:p>
    <w:p w14:paraId="158AD3DA" w14:textId="77777777" w:rsidR="00810343" w:rsidRDefault="009974BF" w:rsidP="009974BF">
      <w:pPr>
        <w:spacing w:line="360" w:lineRule="auto"/>
        <w:ind w:firstLine="420"/>
        <w:rPr>
          <w:rFonts w:ascii="宋体" w:hAnsi="宋体" w:cs="宋体"/>
          <w:sz w:val="24"/>
        </w:rPr>
      </w:pPr>
      <w:r>
        <w:rPr>
          <w:rFonts w:ascii="宋体" w:hAnsi="宋体" w:cs="宋体" w:hint="eastAsia"/>
          <w:sz w:val="24"/>
        </w:rPr>
        <w:t>1</w:t>
      </w:r>
      <w:r w:rsidR="00F85F3D">
        <w:rPr>
          <w:rFonts w:ascii="宋体" w:hAnsi="宋体" w:cs="宋体" w:hint="eastAsia"/>
          <w:sz w:val="24"/>
        </w:rPr>
        <w:t>3</w:t>
      </w:r>
      <w:r>
        <w:rPr>
          <w:rFonts w:ascii="宋体" w:hAnsi="宋体" w:cs="宋体" w:hint="eastAsia"/>
          <w:sz w:val="24"/>
        </w:rPr>
        <w:t xml:space="preserve">) </w:t>
      </w:r>
      <w:r w:rsidR="00810343">
        <w:rPr>
          <w:rFonts w:ascii="宋体" w:hAnsi="宋体" w:cs="宋体" w:hint="eastAsia"/>
          <w:sz w:val="24"/>
        </w:rPr>
        <w:t>报警提示要求</w:t>
      </w:r>
    </w:p>
    <w:p w14:paraId="09EE054D" w14:textId="77777777" w:rsidR="009974BF" w:rsidRDefault="009974BF" w:rsidP="009974BF">
      <w:pPr>
        <w:spacing w:line="360" w:lineRule="auto"/>
        <w:ind w:firstLine="420"/>
        <w:rPr>
          <w:rFonts w:ascii="宋体" w:hAnsi="宋体" w:cs="宋体"/>
          <w:sz w:val="24"/>
        </w:rPr>
      </w:pPr>
      <w:r>
        <w:rPr>
          <w:rFonts w:ascii="宋体" w:hAnsi="宋体" w:cs="宋体" w:hint="eastAsia"/>
          <w:sz w:val="24"/>
        </w:rPr>
        <w:t>行驶过程中的报警和提示</w:t>
      </w:r>
      <w:r w:rsidR="003200BB">
        <w:rPr>
          <w:rFonts w:ascii="宋体" w:hAnsi="宋体" w:cs="宋体" w:hint="eastAsia"/>
          <w:sz w:val="24"/>
        </w:rPr>
        <w:t>包括功率降低提示、REESS低电量提示和REESS热事故报警。其中功率降低提示参考GB/T18384.2-2015中4.3.1的要求，REESS</w:t>
      </w:r>
      <w:r w:rsidR="00DE64F6">
        <w:rPr>
          <w:rFonts w:ascii="宋体" w:hAnsi="宋体" w:cs="宋体" w:hint="eastAsia"/>
          <w:sz w:val="24"/>
        </w:rPr>
        <w:t>低电量提示参考EVS-GTR中5.3.4的要求以及GB/T18384.2-2015中4.3.2的要</w:t>
      </w:r>
      <w:r w:rsidR="00DE64F6">
        <w:rPr>
          <w:rFonts w:ascii="宋体" w:hAnsi="宋体" w:cs="宋体" w:hint="eastAsia"/>
          <w:sz w:val="24"/>
        </w:rPr>
        <w:lastRenderedPageBreak/>
        <w:t>求，REESS热事故报警参考EVS-GTR中5.3.3的要求。上述的报警及提示功能仅对整车有报警及提示功能做要求，试验中可采用模拟触发信号的方式进行验证。</w:t>
      </w:r>
    </w:p>
    <w:p w14:paraId="0B4E09CE" w14:textId="77777777" w:rsidR="00810343" w:rsidRDefault="00DE64F6" w:rsidP="009974BF">
      <w:pPr>
        <w:spacing w:line="360" w:lineRule="auto"/>
        <w:ind w:firstLine="420"/>
        <w:rPr>
          <w:rFonts w:ascii="宋体" w:hAnsi="宋体" w:cs="宋体"/>
          <w:sz w:val="24"/>
        </w:rPr>
      </w:pPr>
      <w:r>
        <w:rPr>
          <w:rFonts w:ascii="宋体" w:hAnsi="宋体" w:cs="宋体" w:hint="eastAsia"/>
          <w:sz w:val="24"/>
        </w:rPr>
        <w:t xml:space="preserve">13) </w:t>
      </w:r>
      <w:r w:rsidR="00810343">
        <w:rPr>
          <w:rFonts w:ascii="宋体" w:hAnsi="宋体" w:cs="宋体" w:hint="eastAsia"/>
          <w:sz w:val="24"/>
        </w:rPr>
        <w:t>反向行驶要求</w:t>
      </w:r>
    </w:p>
    <w:p w14:paraId="4BDAEB78" w14:textId="77777777" w:rsidR="00DE64F6" w:rsidRPr="00DE64F6" w:rsidRDefault="00DE64F6" w:rsidP="009974BF">
      <w:pPr>
        <w:spacing w:line="360" w:lineRule="auto"/>
        <w:ind w:firstLine="420"/>
        <w:rPr>
          <w:rFonts w:ascii="宋体" w:hAnsi="宋体" w:cs="宋体"/>
          <w:sz w:val="24"/>
        </w:rPr>
      </w:pPr>
      <w:r>
        <w:rPr>
          <w:rFonts w:ascii="宋体" w:hAnsi="宋体" w:cs="宋体" w:hint="eastAsia"/>
          <w:sz w:val="24"/>
        </w:rPr>
        <w:t>反向</w:t>
      </w:r>
      <w:r w:rsidR="006351D8">
        <w:rPr>
          <w:rFonts w:ascii="宋体" w:hAnsi="宋体" w:cs="宋体" w:hint="eastAsia"/>
          <w:sz w:val="24"/>
        </w:rPr>
        <w:t>行驶要求参考GB/T18384.2-2015中4.4章节内容。考虑到高速换向情况下的安全性风险，在本标准的宣贯资料中会对低车速的指标进行具体说明。</w:t>
      </w:r>
    </w:p>
    <w:p w14:paraId="288826F3" w14:textId="77777777" w:rsidR="00810343" w:rsidRDefault="006351D8" w:rsidP="001F77B0">
      <w:pPr>
        <w:spacing w:line="360" w:lineRule="auto"/>
        <w:ind w:firstLine="420"/>
        <w:rPr>
          <w:rFonts w:ascii="宋体" w:hAnsi="宋体" w:cs="宋体"/>
          <w:sz w:val="24"/>
        </w:rPr>
      </w:pPr>
      <w:r>
        <w:rPr>
          <w:rFonts w:ascii="宋体" w:hAnsi="宋体" w:cs="宋体" w:hint="eastAsia"/>
          <w:sz w:val="24"/>
        </w:rPr>
        <w:t>14)</w:t>
      </w:r>
      <w:r w:rsidR="00810343">
        <w:rPr>
          <w:rFonts w:ascii="宋体" w:hAnsi="宋体" w:cs="宋体" w:hint="eastAsia"/>
          <w:sz w:val="24"/>
        </w:rPr>
        <w:t xml:space="preserve"> 驻车要求</w:t>
      </w:r>
    </w:p>
    <w:p w14:paraId="0A4AEF47" w14:textId="77777777" w:rsidR="009974BF" w:rsidRDefault="006351D8" w:rsidP="001F77B0">
      <w:pPr>
        <w:spacing w:line="360" w:lineRule="auto"/>
        <w:ind w:firstLine="420"/>
        <w:rPr>
          <w:rFonts w:ascii="宋体" w:hAnsi="宋体" w:cs="宋体"/>
          <w:sz w:val="24"/>
        </w:rPr>
      </w:pPr>
      <w:r>
        <w:rPr>
          <w:rFonts w:ascii="宋体" w:hAnsi="宋体" w:cs="宋体" w:hint="eastAsia"/>
          <w:sz w:val="24"/>
        </w:rPr>
        <w:t>驻车要求参考GB/T18384.2-2015中4.5章节内容。</w:t>
      </w:r>
    </w:p>
    <w:p w14:paraId="77CA36B4" w14:textId="77777777" w:rsidR="00810343" w:rsidRDefault="006351D8" w:rsidP="00ED2A90">
      <w:pPr>
        <w:spacing w:line="360" w:lineRule="auto"/>
        <w:ind w:firstLine="420"/>
        <w:rPr>
          <w:rFonts w:ascii="宋体" w:hAnsi="宋体" w:cs="宋体"/>
          <w:sz w:val="24"/>
        </w:rPr>
      </w:pPr>
      <w:r>
        <w:rPr>
          <w:rFonts w:ascii="宋体" w:hAnsi="宋体" w:cs="宋体" w:hint="eastAsia"/>
          <w:sz w:val="24"/>
        </w:rPr>
        <w:t>15)</w:t>
      </w:r>
      <w:r w:rsidR="00810343">
        <w:rPr>
          <w:rFonts w:ascii="宋体" w:hAnsi="宋体" w:cs="宋体" w:hint="eastAsia"/>
          <w:sz w:val="24"/>
        </w:rPr>
        <w:t xml:space="preserve"> 传导连接锁止要求</w:t>
      </w:r>
    </w:p>
    <w:p w14:paraId="23A19546" w14:textId="77777777" w:rsidR="001F77B0" w:rsidRPr="006351D8" w:rsidRDefault="006351D8" w:rsidP="00ED2A90">
      <w:pPr>
        <w:spacing w:line="360" w:lineRule="auto"/>
        <w:ind w:firstLine="420"/>
        <w:rPr>
          <w:rFonts w:ascii="宋体" w:hAnsi="宋体" w:cs="宋体"/>
          <w:sz w:val="24"/>
        </w:rPr>
      </w:pPr>
      <w:r>
        <w:rPr>
          <w:rFonts w:ascii="宋体" w:hAnsi="宋体" w:cs="宋体" w:hint="eastAsia"/>
          <w:sz w:val="24"/>
        </w:rPr>
        <w:t>传导连接锁止要求参考EVS-GTR中5.1.2.4及GB/T18384.2-2015中4.2的要求。并在此基础上进行了合理扩展，考虑到</w:t>
      </w:r>
      <w:r w:rsidR="00ED2A90">
        <w:rPr>
          <w:rFonts w:ascii="宋体" w:hAnsi="宋体" w:cs="宋体" w:hint="eastAsia"/>
          <w:sz w:val="24"/>
        </w:rPr>
        <w:t>现在</w:t>
      </w:r>
      <w:r>
        <w:rPr>
          <w:rFonts w:ascii="宋体" w:hAnsi="宋体" w:cs="宋体" w:hint="eastAsia"/>
          <w:sz w:val="24"/>
        </w:rPr>
        <w:t>存在车辆对外放电</w:t>
      </w:r>
      <w:r w:rsidR="00ED2A90">
        <w:rPr>
          <w:rFonts w:ascii="宋体" w:hAnsi="宋体" w:cs="宋体" w:hint="eastAsia"/>
          <w:sz w:val="24"/>
        </w:rPr>
        <w:t>技术以及后续可能会有移动供电或者补电技术，故将要求调整为“</w:t>
      </w:r>
      <w:r w:rsidR="00ED2A90" w:rsidRPr="00ED2A90">
        <w:rPr>
          <w:rFonts w:ascii="宋体" w:hAnsi="宋体" w:cs="宋体" w:hint="eastAsia"/>
          <w:sz w:val="24"/>
        </w:rPr>
        <w:t>当车辆传导连接到位置固定的外部电源或负载时，车辆不能通过其自身的驱动系统移动。</w:t>
      </w:r>
      <w:r w:rsidR="00ED2A90">
        <w:rPr>
          <w:rFonts w:ascii="宋体" w:hAnsi="宋体" w:cs="宋体" w:hint="eastAsia"/>
          <w:sz w:val="24"/>
        </w:rPr>
        <w:t>”</w:t>
      </w:r>
    </w:p>
    <w:p w14:paraId="08E857E7"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t>主要试验（或验证）情况分析</w:t>
      </w:r>
    </w:p>
    <w:p w14:paraId="5480F89B" w14:textId="77777777" w:rsidR="004526F7" w:rsidRPr="004526F7" w:rsidRDefault="00ED054B" w:rsidP="004526F7">
      <w:pPr>
        <w:spacing w:line="360" w:lineRule="auto"/>
        <w:ind w:firstLine="420"/>
        <w:rPr>
          <w:rStyle w:val="af0"/>
          <w:rFonts w:ascii="宋体" w:hAnsi="宋体" w:cs="宋体"/>
          <w:b w:val="0"/>
          <w:bCs w:val="0"/>
          <w:sz w:val="24"/>
        </w:rPr>
      </w:pPr>
      <w:r>
        <w:rPr>
          <w:rFonts w:ascii="宋体" w:hAnsi="宋体" w:cs="宋体" w:hint="eastAsia"/>
          <w:sz w:val="24"/>
        </w:rPr>
        <w:t>1</w:t>
      </w:r>
      <w:r w:rsidR="004526F7">
        <w:rPr>
          <w:rFonts w:ascii="宋体" w:hAnsi="宋体" w:cs="宋体" w:hint="eastAsia"/>
          <w:sz w:val="24"/>
        </w:rPr>
        <w:t xml:space="preserve">) </w:t>
      </w:r>
      <w:r w:rsidR="00F85F3D">
        <w:rPr>
          <w:rFonts w:ascii="宋体" w:hAnsi="宋体" w:cs="宋体" w:hint="eastAsia"/>
          <w:sz w:val="24"/>
        </w:rPr>
        <w:t>整车</w:t>
      </w:r>
      <w:r w:rsidR="004526F7">
        <w:rPr>
          <w:rFonts w:ascii="宋体" w:hAnsi="宋体" w:cs="宋体" w:hint="eastAsia"/>
          <w:sz w:val="24"/>
        </w:rPr>
        <w:t>绝缘电阻测试方法</w:t>
      </w:r>
    </w:p>
    <w:p w14:paraId="72CE3B48" w14:textId="77777777" w:rsidR="008E74A3" w:rsidRDefault="00034F15" w:rsidP="00B247E5">
      <w:pPr>
        <w:tabs>
          <w:tab w:val="left" w:pos="480"/>
          <w:tab w:val="left" w:pos="540"/>
          <w:tab w:val="left" w:pos="1676"/>
        </w:tabs>
        <w:spacing w:line="360" w:lineRule="auto"/>
        <w:rPr>
          <w:rFonts w:ascii="宋体" w:hAnsi="宋体" w:cs="宋体"/>
          <w:sz w:val="24"/>
        </w:rPr>
      </w:pPr>
      <w:r>
        <w:rPr>
          <w:rFonts w:ascii="宋体" w:hAnsi="宋体" w:cs="宋体" w:hint="eastAsia"/>
          <w:sz w:val="24"/>
        </w:rPr>
        <w:tab/>
      </w:r>
      <w:r w:rsidR="00F85F3D">
        <w:rPr>
          <w:rFonts w:ascii="宋体" w:hAnsi="宋体" w:cs="宋体" w:hint="eastAsia"/>
          <w:sz w:val="24"/>
        </w:rPr>
        <w:t>整车</w:t>
      </w:r>
      <w:r>
        <w:rPr>
          <w:rFonts w:ascii="宋体" w:hAnsi="宋体" w:cs="宋体" w:hint="eastAsia"/>
          <w:sz w:val="24"/>
        </w:rPr>
        <w:t>绝缘电阻测试</w:t>
      </w:r>
      <w:r w:rsidR="003662E6">
        <w:rPr>
          <w:rFonts w:ascii="宋体" w:hAnsi="宋体" w:cs="宋体" w:hint="eastAsia"/>
          <w:sz w:val="24"/>
        </w:rPr>
        <w:t>以EVS-GTR中6.1.1以及GB/T18384.2-2015中7.2中的绝缘电阻测试方法为基础，结合各检测机构及整车厂</w:t>
      </w:r>
      <w:r w:rsidR="008E74A3">
        <w:rPr>
          <w:rFonts w:ascii="宋体" w:hAnsi="宋体" w:cs="宋体" w:hint="eastAsia"/>
          <w:sz w:val="24"/>
        </w:rPr>
        <w:t>的</w:t>
      </w:r>
      <w:r w:rsidR="003662E6">
        <w:rPr>
          <w:rFonts w:ascii="宋体" w:hAnsi="宋体" w:cs="宋体" w:hint="eastAsia"/>
          <w:sz w:val="24"/>
        </w:rPr>
        <w:t>测试经验进行了测试方法的调整和简化。</w:t>
      </w:r>
    </w:p>
    <w:p w14:paraId="6CC5255A" w14:textId="77777777" w:rsidR="00145D1C" w:rsidRDefault="008E74A3" w:rsidP="00B247E5">
      <w:pPr>
        <w:tabs>
          <w:tab w:val="left" w:pos="480"/>
          <w:tab w:val="left" w:pos="540"/>
          <w:tab w:val="left" w:pos="1676"/>
        </w:tabs>
        <w:spacing w:line="360" w:lineRule="auto"/>
        <w:rPr>
          <w:rFonts w:ascii="宋体" w:hAnsi="宋体" w:cs="宋体"/>
          <w:sz w:val="24"/>
        </w:rPr>
      </w:pPr>
      <w:r>
        <w:rPr>
          <w:rFonts w:ascii="宋体" w:hAnsi="宋体" w:cs="宋体" w:hint="eastAsia"/>
          <w:sz w:val="24"/>
        </w:rPr>
        <w:tab/>
      </w:r>
      <w:r w:rsidR="00896AB6">
        <w:rPr>
          <w:rFonts w:ascii="宋体" w:hAnsi="宋体" w:cs="宋体" w:hint="eastAsia"/>
          <w:sz w:val="24"/>
        </w:rPr>
        <w:t>考虑到该露点准备工作需要8h时间，并且需要高低温试验室，作为强标要求执行存在困难，并且不利于行业发展。</w:t>
      </w:r>
      <w:r w:rsidR="003662E6">
        <w:rPr>
          <w:rFonts w:ascii="宋体" w:hAnsi="宋体" w:cs="宋体" w:hint="eastAsia"/>
          <w:sz w:val="24"/>
        </w:rPr>
        <w:t>测试过程中的环境条件</w:t>
      </w:r>
      <w:r w:rsidR="00896088">
        <w:rPr>
          <w:rFonts w:ascii="宋体" w:hAnsi="宋体" w:cs="宋体" w:hint="eastAsia"/>
          <w:sz w:val="24"/>
        </w:rPr>
        <w:t>参考EVS-GTR中</w:t>
      </w:r>
      <w:r w:rsidR="00896AB6">
        <w:rPr>
          <w:rFonts w:ascii="宋体" w:hAnsi="宋体" w:cs="宋体" w:hint="eastAsia"/>
          <w:sz w:val="24"/>
        </w:rPr>
        <w:t>绝缘电阻</w:t>
      </w:r>
      <w:r>
        <w:rPr>
          <w:rFonts w:ascii="宋体" w:hAnsi="宋体" w:cs="宋体" w:hint="eastAsia"/>
          <w:sz w:val="24"/>
        </w:rPr>
        <w:t>测试方法</w:t>
      </w:r>
      <w:r w:rsidR="00474196">
        <w:rPr>
          <w:rFonts w:ascii="宋体" w:hAnsi="宋体" w:cs="宋体" w:hint="eastAsia"/>
          <w:sz w:val="24"/>
        </w:rPr>
        <w:t>删除了GB/T18384.2-2015中7.2</w:t>
      </w:r>
      <w:r w:rsidR="00B247E5">
        <w:rPr>
          <w:rFonts w:ascii="宋体" w:hAnsi="宋体" w:cs="宋体" w:hint="eastAsia"/>
          <w:sz w:val="24"/>
        </w:rPr>
        <w:t>.1绝缘电阻测试</w:t>
      </w:r>
      <w:r>
        <w:rPr>
          <w:rFonts w:ascii="宋体" w:hAnsi="宋体" w:cs="宋体" w:hint="eastAsia"/>
          <w:sz w:val="24"/>
        </w:rPr>
        <w:t>试验准备步骤。</w:t>
      </w:r>
      <w:r w:rsidR="00896AB6">
        <w:rPr>
          <w:rFonts w:ascii="宋体" w:hAnsi="宋体" w:cs="宋体" w:hint="eastAsia"/>
          <w:sz w:val="24"/>
        </w:rPr>
        <w:t xml:space="preserve"> </w:t>
      </w:r>
    </w:p>
    <w:p w14:paraId="6236D29F" w14:textId="77777777" w:rsidR="001F77B0" w:rsidRDefault="00145D1C" w:rsidP="00B247E5">
      <w:pPr>
        <w:tabs>
          <w:tab w:val="left" w:pos="480"/>
          <w:tab w:val="left" w:pos="540"/>
          <w:tab w:val="left" w:pos="1676"/>
        </w:tabs>
        <w:spacing w:line="360" w:lineRule="auto"/>
        <w:rPr>
          <w:rFonts w:ascii="宋体" w:hAnsi="宋体" w:cs="宋体"/>
          <w:sz w:val="24"/>
        </w:rPr>
      </w:pPr>
      <w:r>
        <w:rPr>
          <w:rFonts w:ascii="宋体" w:hAnsi="宋体" w:cs="宋体" w:hint="eastAsia"/>
          <w:sz w:val="24"/>
        </w:rPr>
        <w:tab/>
      </w:r>
      <w:r w:rsidR="00F85F3D">
        <w:rPr>
          <w:rFonts w:ascii="宋体" w:hAnsi="宋体" w:cs="宋体" w:hint="eastAsia"/>
          <w:sz w:val="24"/>
        </w:rPr>
        <w:t>整车</w:t>
      </w:r>
      <w:r w:rsidR="008E74A3">
        <w:rPr>
          <w:rFonts w:ascii="宋体" w:hAnsi="宋体" w:cs="宋体" w:hint="eastAsia"/>
          <w:sz w:val="24"/>
        </w:rPr>
        <w:t>绝缘电阻的测试步骤将EVS-GTR中电池包绝缘电阻的测试步骤和B级电压电路的绝缘电阻合二为一，通过激活电力、电子开关将电池包及所有B级电压零部件</w:t>
      </w:r>
      <w:r w:rsidR="00991162">
        <w:rPr>
          <w:rFonts w:ascii="宋体" w:hAnsi="宋体" w:cs="宋体" w:hint="eastAsia"/>
          <w:sz w:val="24"/>
        </w:rPr>
        <w:t>同时接入到B级电压电路中</w:t>
      </w:r>
      <w:r>
        <w:rPr>
          <w:rFonts w:ascii="宋体" w:hAnsi="宋体" w:cs="宋体" w:hint="eastAsia"/>
          <w:sz w:val="24"/>
        </w:rPr>
        <w:t>，以实现一次测试操作能完成对整车绝缘电阻的测试</w:t>
      </w:r>
      <w:r w:rsidR="00991162">
        <w:rPr>
          <w:rFonts w:ascii="宋体" w:hAnsi="宋体" w:cs="宋体" w:hint="eastAsia"/>
          <w:sz w:val="24"/>
        </w:rPr>
        <w:t>。</w:t>
      </w:r>
      <w:r>
        <w:rPr>
          <w:rFonts w:ascii="宋体" w:hAnsi="宋体" w:cs="宋体" w:hint="eastAsia"/>
          <w:sz w:val="24"/>
        </w:rPr>
        <w:t>其中激活电路、电子开关包括所有B级电压负载的接触器吸和以及IGBT导通或者开波。</w:t>
      </w:r>
    </w:p>
    <w:p w14:paraId="6C3B1160" w14:textId="77777777" w:rsidR="00145D1C" w:rsidRPr="00145D1C" w:rsidRDefault="00145D1C" w:rsidP="00B247E5">
      <w:pPr>
        <w:tabs>
          <w:tab w:val="left" w:pos="480"/>
          <w:tab w:val="left" w:pos="540"/>
          <w:tab w:val="left" w:pos="1676"/>
        </w:tabs>
        <w:spacing w:line="360" w:lineRule="auto"/>
        <w:rPr>
          <w:rStyle w:val="af0"/>
          <w:rFonts w:ascii="宋体" w:hAnsi="宋体" w:cs="宋体"/>
          <w:b w:val="0"/>
          <w:bCs w:val="0"/>
          <w:sz w:val="24"/>
        </w:rPr>
      </w:pPr>
      <w:r>
        <w:rPr>
          <w:rFonts w:ascii="宋体" w:hAnsi="宋体" w:cs="宋体" w:hint="eastAsia"/>
          <w:sz w:val="24"/>
        </w:rPr>
        <w:tab/>
        <w:t>具体测试方法上，针对目前EVS-GTR以及GB/T18384的绝缘电阻测试方法进行了优化调整，原测试方法中使用万用表先后对电池包输出正</w:t>
      </w:r>
      <w:r w:rsidR="00F3236A">
        <w:rPr>
          <w:rFonts w:ascii="宋体" w:hAnsi="宋体" w:cs="宋体" w:hint="eastAsia"/>
          <w:sz w:val="24"/>
        </w:rPr>
        <w:t>与车辆电平台，电池包输出负与车辆电平台间的电压进行测试，测试过程中，电压的读数不稳定，</w:t>
      </w:r>
      <w:r w:rsidR="008E0930">
        <w:rPr>
          <w:rFonts w:ascii="宋体" w:hAnsi="宋体" w:cs="宋体" w:hint="eastAsia"/>
          <w:sz w:val="24"/>
        </w:rPr>
        <w:lastRenderedPageBreak/>
        <w:t>人为因素导致测试结果偏差的可能性很大。本草案中采用双表笔同时测试的方法保证了电压读数的稳定性，并且在原理上消除了万用表内阻对绝缘电阻测试</w:t>
      </w:r>
      <w:r w:rsidR="00071819">
        <w:rPr>
          <w:rFonts w:ascii="宋体" w:hAnsi="宋体" w:cs="宋体" w:hint="eastAsia"/>
          <w:sz w:val="24"/>
        </w:rPr>
        <w:t>结果的影响，提高了测试结果的准确性。</w:t>
      </w:r>
    </w:p>
    <w:p w14:paraId="31167421"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t>明确标准中涉及专利的情况</w:t>
      </w:r>
    </w:p>
    <w:p w14:paraId="4571F153" w14:textId="77777777" w:rsidR="0077711C" w:rsidRDefault="002A4619">
      <w:pPr>
        <w:spacing w:line="360" w:lineRule="auto"/>
        <w:ind w:firstLineChars="200" w:firstLine="480"/>
        <w:rPr>
          <w:rFonts w:ascii="宋体" w:hAnsi="宋体"/>
          <w:sz w:val="24"/>
        </w:rPr>
      </w:pPr>
      <w:r>
        <w:rPr>
          <w:rFonts w:ascii="宋体" w:hAnsi="宋体" w:hint="eastAsia"/>
          <w:sz w:val="24"/>
        </w:rPr>
        <w:t>本标准的主要技术内容及相关测试方法均不涉及专利。</w:t>
      </w:r>
    </w:p>
    <w:p w14:paraId="3F43E71A"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t>预期达到的社会效益、对产业发展的作用等情况</w:t>
      </w:r>
    </w:p>
    <w:p w14:paraId="2B05A424" w14:textId="77777777" w:rsidR="0077711C" w:rsidRDefault="002A4619">
      <w:pPr>
        <w:spacing w:line="360" w:lineRule="auto"/>
        <w:ind w:firstLineChars="200" w:firstLine="480"/>
        <w:rPr>
          <w:rFonts w:ascii="宋体" w:hAnsi="宋体"/>
          <w:sz w:val="24"/>
        </w:rPr>
      </w:pPr>
      <w:r>
        <w:rPr>
          <w:rFonts w:ascii="宋体" w:hAnsi="宋体" w:hint="eastAsia"/>
          <w:sz w:val="24"/>
        </w:rPr>
        <w:t>近年来，电动汽车得到了各</w:t>
      </w:r>
      <w:r w:rsidR="00823018">
        <w:rPr>
          <w:rFonts w:ascii="宋体" w:hAnsi="宋体" w:hint="eastAsia"/>
          <w:sz w:val="24"/>
        </w:rPr>
        <w:t>国政府及企业的高度重视和快速发展。国家出台了一系列政策用于鼓励电动汽车的发展。《</w:t>
      </w:r>
      <w:r w:rsidR="00ED2A90">
        <w:rPr>
          <w:rFonts w:ascii="宋体" w:hAnsi="宋体" w:hint="eastAsia"/>
          <w:sz w:val="24"/>
        </w:rPr>
        <w:t>电动汽车安全要求</w:t>
      </w:r>
      <w:r w:rsidR="00823018">
        <w:rPr>
          <w:rFonts w:ascii="宋体" w:hAnsi="宋体" w:hint="eastAsia"/>
          <w:sz w:val="24"/>
        </w:rPr>
        <w:t>》</w:t>
      </w:r>
      <w:r w:rsidR="00ED2A90">
        <w:rPr>
          <w:rFonts w:ascii="宋体" w:hAnsi="宋体" w:hint="eastAsia"/>
          <w:sz w:val="24"/>
        </w:rPr>
        <w:t>对电动汽车的安全性能提出了最基本的要求，其范围考虑</w:t>
      </w:r>
      <w:r w:rsidR="00823018">
        <w:rPr>
          <w:rFonts w:ascii="宋体" w:hAnsi="宋体" w:hint="eastAsia"/>
          <w:sz w:val="24"/>
        </w:rPr>
        <w:t>了</w:t>
      </w:r>
      <w:r w:rsidR="00ED2A90">
        <w:rPr>
          <w:rFonts w:ascii="宋体" w:hAnsi="宋体" w:hint="eastAsia"/>
          <w:sz w:val="24"/>
        </w:rPr>
        <w:t>国内电动汽车在正常使用过程中常见的安全风险情况，是电动汽车产业平稳、健康发展的基本保障。</w:t>
      </w:r>
      <w:r w:rsidR="00823018">
        <w:rPr>
          <w:rFonts w:ascii="宋体" w:hAnsi="宋体" w:hint="eastAsia"/>
          <w:sz w:val="24"/>
        </w:rPr>
        <w:t>本标准</w:t>
      </w:r>
      <w:r w:rsidR="006C2AFB">
        <w:rPr>
          <w:rFonts w:ascii="宋体" w:hAnsi="宋体" w:hint="eastAsia"/>
          <w:sz w:val="24"/>
        </w:rPr>
        <w:t>参考</w:t>
      </w:r>
      <w:r w:rsidR="00ED2A90">
        <w:rPr>
          <w:rFonts w:ascii="宋体" w:hAnsi="宋体" w:hint="eastAsia"/>
          <w:sz w:val="24"/>
        </w:rPr>
        <w:t>相关国际及国家标准进行制定</w:t>
      </w:r>
      <w:r w:rsidR="00823018">
        <w:rPr>
          <w:rFonts w:ascii="宋体" w:hAnsi="宋体" w:hint="eastAsia"/>
          <w:sz w:val="24"/>
        </w:rPr>
        <w:t>，</w:t>
      </w:r>
      <w:r w:rsidR="00ED2A90">
        <w:rPr>
          <w:rFonts w:ascii="宋体" w:hAnsi="宋体" w:hint="eastAsia"/>
          <w:sz w:val="24"/>
        </w:rPr>
        <w:t>并根据行业相关经验进行了调整，</w:t>
      </w:r>
      <w:r w:rsidR="00823018">
        <w:rPr>
          <w:rFonts w:ascii="宋体" w:hAnsi="宋体" w:hint="eastAsia"/>
          <w:sz w:val="24"/>
        </w:rPr>
        <w:t>可被相关政策引用</w:t>
      </w:r>
      <w:r w:rsidR="00ED2A90">
        <w:rPr>
          <w:rFonts w:ascii="宋体" w:hAnsi="宋体" w:hint="eastAsia"/>
          <w:sz w:val="24"/>
        </w:rPr>
        <w:t>作为电动汽车市场准入的强制要求</w:t>
      </w:r>
      <w:r w:rsidR="00823018">
        <w:rPr>
          <w:rFonts w:ascii="宋体" w:hAnsi="宋体" w:hint="eastAsia"/>
          <w:sz w:val="24"/>
        </w:rPr>
        <w:t>。</w:t>
      </w:r>
    </w:p>
    <w:p w14:paraId="1276CECD"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t>采用国际标准和国外先进标准情况，与国际、国外同类标准水平的对比情况，国内外关键指标对比分析或与测试的国外样品、样机的相关数据对比情况；</w:t>
      </w:r>
    </w:p>
    <w:p w14:paraId="72E83A27" w14:textId="77777777" w:rsidR="0077711C" w:rsidRDefault="002A4619" w:rsidP="0055286B">
      <w:pPr>
        <w:pStyle w:val="a8"/>
        <w:rPr>
          <w:rFonts w:ascii="宋体"/>
          <w:sz w:val="24"/>
        </w:rPr>
      </w:pPr>
      <w:r w:rsidRPr="0064799B">
        <w:rPr>
          <w:rFonts w:ascii="宋体" w:hint="eastAsia"/>
          <w:sz w:val="24"/>
        </w:rPr>
        <w:t>本标准在</w:t>
      </w:r>
      <w:r w:rsidR="003A5A13">
        <w:rPr>
          <w:rFonts w:ascii="宋体" w:hint="eastAsia"/>
          <w:sz w:val="24"/>
        </w:rPr>
        <w:t>制定过程中主要参考了EVS-GTR，GB/T18384.1、GB/T18384.2、GB/T18384.3，GB7258-2017</w:t>
      </w:r>
      <w:r w:rsidRPr="0064799B">
        <w:rPr>
          <w:rFonts w:asci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5153"/>
      </w:tblGrid>
      <w:tr w:rsidR="007C426E" w:rsidRPr="007C426E" w14:paraId="0D90407E" w14:textId="77777777" w:rsidTr="007C426E">
        <w:tc>
          <w:tcPr>
            <w:tcW w:w="817" w:type="dxa"/>
            <w:shd w:val="clear" w:color="auto" w:fill="auto"/>
          </w:tcPr>
          <w:p w14:paraId="520BE666" w14:textId="77777777" w:rsidR="00965F6A" w:rsidRPr="007C426E" w:rsidRDefault="00965F6A" w:rsidP="00216D41">
            <w:pPr>
              <w:pStyle w:val="a8"/>
              <w:ind w:firstLineChars="0" w:firstLine="0"/>
              <w:jc w:val="center"/>
              <w:rPr>
                <w:rFonts w:ascii="宋体"/>
                <w:sz w:val="24"/>
              </w:rPr>
            </w:pPr>
            <w:r w:rsidRPr="007C426E">
              <w:rPr>
                <w:rFonts w:ascii="宋体" w:hint="eastAsia"/>
                <w:sz w:val="24"/>
              </w:rPr>
              <w:t>序号</w:t>
            </w:r>
          </w:p>
        </w:tc>
        <w:tc>
          <w:tcPr>
            <w:tcW w:w="2552" w:type="dxa"/>
            <w:shd w:val="clear" w:color="auto" w:fill="auto"/>
          </w:tcPr>
          <w:p w14:paraId="2D92B730" w14:textId="77777777" w:rsidR="00965F6A" w:rsidRPr="007C426E" w:rsidRDefault="00965F6A" w:rsidP="00216D41">
            <w:pPr>
              <w:pStyle w:val="a8"/>
              <w:ind w:firstLineChars="0" w:firstLine="0"/>
              <w:jc w:val="center"/>
              <w:rPr>
                <w:rFonts w:ascii="宋体"/>
                <w:sz w:val="24"/>
              </w:rPr>
            </w:pPr>
            <w:r w:rsidRPr="007C426E">
              <w:rPr>
                <w:rFonts w:ascii="宋体" w:hint="eastAsia"/>
                <w:sz w:val="24"/>
              </w:rPr>
              <w:t>项目</w:t>
            </w:r>
          </w:p>
        </w:tc>
        <w:tc>
          <w:tcPr>
            <w:tcW w:w="5153" w:type="dxa"/>
            <w:shd w:val="clear" w:color="auto" w:fill="auto"/>
          </w:tcPr>
          <w:p w14:paraId="708A87FF" w14:textId="77777777" w:rsidR="00965F6A" w:rsidRPr="007C426E" w:rsidRDefault="00965F6A" w:rsidP="00216D41">
            <w:pPr>
              <w:pStyle w:val="a8"/>
              <w:ind w:firstLineChars="0" w:firstLine="0"/>
              <w:jc w:val="center"/>
              <w:rPr>
                <w:rFonts w:ascii="宋体"/>
                <w:sz w:val="24"/>
              </w:rPr>
            </w:pPr>
            <w:r w:rsidRPr="007C426E">
              <w:rPr>
                <w:rFonts w:ascii="宋体" w:hint="eastAsia"/>
                <w:sz w:val="24"/>
              </w:rPr>
              <w:t>相关</w:t>
            </w:r>
            <w:r w:rsidRPr="007C426E">
              <w:rPr>
                <w:rFonts w:ascii="宋体"/>
                <w:sz w:val="24"/>
              </w:rPr>
              <w:t>标准对比</w:t>
            </w:r>
          </w:p>
        </w:tc>
      </w:tr>
      <w:tr w:rsidR="007C426E" w:rsidRPr="007C426E" w14:paraId="17F4BBCA" w14:textId="77777777" w:rsidTr="007C426E">
        <w:tc>
          <w:tcPr>
            <w:tcW w:w="817" w:type="dxa"/>
            <w:shd w:val="clear" w:color="auto" w:fill="auto"/>
          </w:tcPr>
          <w:p w14:paraId="7206E92D" w14:textId="77777777" w:rsidR="00965F6A" w:rsidRPr="007C426E" w:rsidRDefault="00965F6A" w:rsidP="007C426E">
            <w:pPr>
              <w:pStyle w:val="a8"/>
              <w:ind w:firstLineChars="0" w:firstLine="0"/>
              <w:rPr>
                <w:rFonts w:ascii="宋体"/>
                <w:sz w:val="24"/>
              </w:rPr>
            </w:pPr>
            <w:r w:rsidRPr="007C426E">
              <w:rPr>
                <w:rFonts w:ascii="宋体" w:hint="eastAsia"/>
                <w:sz w:val="24"/>
              </w:rPr>
              <w:t>1</w:t>
            </w:r>
          </w:p>
        </w:tc>
        <w:tc>
          <w:tcPr>
            <w:tcW w:w="2552" w:type="dxa"/>
            <w:shd w:val="clear" w:color="auto" w:fill="auto"/>
          </w:tcPr>
          <w:p w14:paraId="0E2C6786" w14:textId="77777777" w:rsidR="00965F6A" w:rsidRPr="007C426E" w:rsidRDefault="00965F6A" w:rsidP="007C426E">
            <w:pPr>
              <w:pStyle w:val="a8"/>
              <w:ind w:firstLineChars="0" w:firstLine="0"/>
              <w:rPr>
                <w:rFonts w:ascii="宋体"/>
                <w:sz w:val="24"/>
              </w:rPr>
            </w:pPr>
            <w:r w:rsidRPr="007C426E">
              <w:rPr>
                <w:rFonts w:ascii="宋体" w:hint="eastAsia"/>
                <w:sz w:val="24"/>
              </w:rPr>
              <w:t>5.1.1 高压安全标记</w:t>
            </w:r>
          </w:p>
        </w:tc>
        <w:tc>
          <w:tcPr>
            <w:tcW w:w="5153" w:type="dxa"/>
            <w:shd w:val="clear" w:color="auto" w:fill="auto"/>
          </w:tcPr>
          <w:p w14:paraId="588C430A" w14:textId="77777777" w:rsidR="00965F6A" w:rsidRPr="007C426E" w:rsidRDefault="00965F6A" w:rsidP="007C426E">
            <w:pPr>
              <w:pStyle w:val="a8"/>
              <w:ind w:firstLineChars="0" w:firstLine="0"/>
              <w:rPr>
                <w:rFonts w:ascii="宋体"/>
                <w:sz w:val="24"/>
              </w:rPr>
            </w:pPr>
            <w:r w:rsidRPr="007C426E">
              <w:rPr>
                <w:rFonts w:ascii="宋体" w:hint="eastAsia"/>
                <w:sz w:val="24"/>
              </w:rPr>
              <w:t>同GB/T18384.3中5.1,EVS-GTR中5.1.1.1.4.2，标识采用GTR中标识</w:t>
            </w:r>
            <w:r w:rsidR="00351D65" w:rsidRPr="007C426E">
              <w:rPr>
                <w:rFonts w:ascii="宋体" w:hint="eastAsia"/>
                <w:sz w:val="24"/>
              </w:rPr>
              <w:t>。</w:t>
            </w:r>
          </w:p>
        </w:tc>
      </w:tr>
      <w:tr w:rsidR="007C426E" w:rsidRPr="007C426E" w14:paraId="2E981934" w14:textId="77777777" w:rsidTr="007C426E">
        <w:tc>
          <w:tcPr>
            <w:tcW w:w="817" w:type="dxa"/>
            <w:shd w:val="clear" w:color="auto" w:fill="auto"/>
          </w:tcPr>
          <w:p w14:paraId="22D4F01A" w14:textId="77777777" w:rsidR="00965F6A" w:rsidRPr="007C426E" w:rsidRDefault="00965F6A" w:rsidP="007C426E">
            <w:pPr>
              <w:pStyle w:val="a8"/>
              <w:ind w:firstLineChars="0" w:firstLine="0"/>
              <w:rPr>
                <w:rFonts w:ascii="宋体"/>
                <w:sz w:val="24"/>
              </w:rPr>
            </w:pPr>
            <w:r w:rsidRPr="007C426E">
              <w:rPr>
                <w:rFonts w:ascii="宋体" w:hint="eastAsia"/>
                <w:sz w:val="24"/>
              </w:rPr>
              <w:t>2</w:t>
            </w:r>
          </w:p>
        </w:tc>
        <w:tc>
          <w:tcPr>
            <w:tcW w:w="2552" w:type="dxa"/>
            <w:shd w:val="clear" w:color="auto" w:fill="auto"/>
          </w:tcPr>
          <w:p w14:paraId="5E0BE65E" w14:textId="77777777" w:rsidR="00965F6A" w:rsidRPr="007C426E" w:rsidRDefault="00965F6A" w:rsidP="007C426E">
            <w:pPr>
              <w:pStyle w:val="a8"/>
              <w:ind w:firstLineChars="0" w:firstLine="0"/>
              <w:rPr>
                <w:rFonts w:ascii="宋体"/>
                <w:sz w:val="24"/>
              </w:rPr>
            </w:pPr>
            <w:r w:rsidRPr="007C426E">
              <w:rPr>
                <w:rFonts w:ascii="宋体" w:hint="eastAsia"/>
                <w:sz w:val="24"/>
              </w:rPr>
              <w:t>5.1.2 直接接触防护</w:t>
            </w:r>
          </w:p>
        </w:tc>
        <w:tc>
          <w:tcPr>
            <w:tcW w:w="5153" w:type="dxa"/>
            <w:shd w:val="clear" w:color="auto" w:fill="auto"/>
          </w:tcPr>
          <w:p w14:paraId="09918496" w14:textId="77777777" w:rsidR="00965F6A" w:rsidRPr="007C426E" w:rsidRDefault="00965F6A" w:rsidP="007C426E">
            <w:pPr>
              <w:pStyle w:val="a8"/>
              <w:ind w:firstLineChars="0" w:firstLine="0"/>
              <w:rPr>
                <w:rFonts w:ascii="宋体"/>
                <w:sz w:val="24"/>
              </w:rPr>
            </w:pPr>
            <w:r w:rsidRPr="007C426E">
              <w:rPr>
                <w:rFonts w:ascii="宋体"/>
                <w:sz w:val="24"/>
              </w:rPr>
              <w:t>综合EVS-GTR中</w:t>
            </w:r>
            <w:r w:rsidRPr="007C426E">
              <w:rPr>
                <w:rFonts w:ascii="宋体" w:hint="eastAsia"/>
                <w:sz w:val="24"/>
              </w:rPr>
              <w:t>5.1.1.1部分以及GB/T18384.3要求，</w:t>
            </w:r>
            <w:r w:rsidR="00351D65" w:rsidRPr="007C426E">
              <w:rPr>
                <w:rFonts w:ascii="宋体" w:hint="eastAsia"/>
                <w:sz w:val="24"/>
              </w:rPr>
              <w:t>其中维修开关的要求为新增要求，充电插座要求以国标要求为基础按照EVS-GTR安全设计原则，增加了可选项。</w:t>
            </w:r>
          </w:p>
        </w:tc>
      </w:tr>
      <w:tr w:rsidR="007C426E" w:rsidRPr="007C426E" w14:paraId="4D245B0C" w14:textId="77777777" w:rsidTr="007C426E">
        <w:tc>
          <w:tcPr>
            <w:tcW w:w="817" w:type="dxa"/>
            <w:shd w:val="clear" w:color="auto" w:fill="auto"/>
          </w:tcPr>
          <w:p w14:paraId="1C0BA7E6" w14:textId="77777777" w:rsidR="00965F6A" w:rsidRPr="007C426E" w:rsidRDefault="00351D65" w:rsidP="007C426E">
            <w:pPr>
              <w:pStyle w:val="a8"/>
              <w:ind w:firstLineChars="0" w:firstLine="0"/>
              <w:rPr>
                <w:rFonts w:ascii="宋体"/>
                <w:sz w:val="24"/>
              </w:rPr>
            </w:pPr>
            <w:r w:rsidRPr="007C426E">
              <w:rPr>
                <w:rFonts w:ascii="宋体" w:hint="eastAsia"/>
                <w:sz w:val="24"/>
              </w:rPr>
              <w:t>3</w:t>
            </w:r>
          </w:p>
        </w:tc>
        <w:tc>
          <w:tcPr>
            <w:tcW w:w="2552" w:type="dxa"/>
            <w:shd w:val="clear" w:color="auto" w:fill="auto"/>
          </w:tcPr>
          <w:p w14:paraId="0634EB64" w14:textId="77777777" w:rsidR="00965F6A" w:rsidRPr="007C426E" w:rsidRDefault="00351D65" w:rsidP="007C426E">
            <w:pPr>
              <w:pStyle w:val="a8"/>
              <w:ind w:firstLineChars="0" w:firstLine="0"/>
              <w:rPr>
                <w:rFonts w:ascii="宋体"/>
                <w:sz w:val="24"/>
              </w:rPr>
            </w:pPr>
            <w:r w:rsidRPr="007C426E">
              <w:rPr>
                <w:rFonts w:ascii="宋体" w:hint="eastAsia"/>
                <w:sz w:val="24"/>
              </w:rPr>
              <w:t>5.1.3间接接触防护</w:t>
            </w:r>
          </w:p>
        </w:tc>
        <w:tc>
          <w:tcPr>
            <w:tcW w:w="5153" w:type="dxa"/>
            <w:shd w:val="clear" w:color="auto" w:fill="auto"/>
          </w:tcPr>
          <w:p w14:paraId="3736FDB9" w14:textId="77777777" w:rsidR="00F30C1A" w:rsidRPr="007C426E" w:rsidRDefault="00F30C1A" w:rsidP="007C426E">
            <w:pPr>
              <w:pStyle w:val="a8"/>
              <w:ind w:firstLineChars="0" w:firstLine="0"/>
              <w:rPr>
                <w:rFonts w:ascii="宋体"/>
                <w:sz w:val="24"/>
              </w:rPr>
            </w:pPr>
            <w:r w:rsidRPr="007C426E">
              <w:rPr>
                <w:rFonts w:ascii="宋体" w:hint="eastAsia"/>
                <w:sz w:val="24"/>
              </w:rPr>
              <w:t>绝缘电阻要求引用GB/T18384.3中6.7.1</w:t>
            </w:r>
          </w:p>
          <w:p w14:paraId="53B063FE" w14:textId="77777777" w:rsidR="00F30C1A" w:rsidRPr="007C426E" w:rsidRDefault="00F30C1A" w:rsidP="007C426E">
            <w:pPr>
              <w:pStyle w:val="a8"/>
              <w:ind w:firstLineChars="0" w:firstLine="0"/>
              <w:rPr>
                <w:rFonts w:ascii="宋体"/>
                <w:sz w:val="24"/>
              </w:rPr>
            </w:pPr>
            <w:r w:rsidRPr="007C426E">
              <w:rPr>
                <w:rFonts w:ascii="宋体" w:hint="eastAsia"/>
                <w:sz w:val="24"/>
              </w:rPr>
              <w:t>绝缘电阻监测功能要求应用GB7258要求</w:t>
            </w:r>
          </w:p>
          <w:p w14:paraId="30F8F38C" w14:textId="77777777" w:rsidR="00F30C1A" w:rsidRPr="007C426E" w:rsidRDefault="00F30C1A" w:rsidP="007C426E">
            <w:pPr>
              <w:pStyle w:val="a8"/>
              <w:ind w:firstLineChars="0" w:firstLine="0"/>
              <w:rPr>
                <w:rFonts w:ascii="宋体"/>
                <w:sz w:val="24"/>
              </w:rPr>
            </w:pPr>
            <w:r w:rsidRPr="007C426E">
              <w:rPr>
                <w:rFonts w:ascii="宋体" w:hint="eastAsia"/>
                <w:sz w:val="24"/>
              </w:rPr>
              <w:t>电位均衡要求综合GB/T18384.3中6.9和EVS-GTR中5.2.2.3</w:t>
            </w:r>
          </w:p>
          <w:p w14:paraId="59A40764" w14:textId="77777777" w:rsidR="00F30C1A" w:rsidRPr="00F85F3D" w:rsidRDefault="00F30C1A" w:rsidP="007C426E">
            <w:pPr>
              <w:pStyle w:val="a8"/>
              <w:ind w:firstLineChars="0" w:firstLine="0"/>
              <w:rPr>
                <w:rFonts w:ascii="宋体"/>
                <w:sz w:val="24"/>
              </w:rPr>
            </w:pPr>
            <w:r w:rsidRPr="00F85F3D">
              <w:rPr>
                <w:rFonts w:ascii="宋体" w:hint="eastAsia"/>
                <w:sz w:val="24"/>
              </w:rPr>
              <w:lastRenderedPageBreak/>
              <w:t>直流电容耦合要求引用GB/T18384.3中6.3.3.2</w:t>
            </w:r>
            <w:r w:rsidRPr="00F85F3D">
              <w:rPr>
                <w:rFonts w:ascii="宋体"/>
                <w:sz w:val="24"/>
              </w:rPr>
              <w:t xml:space="preserve"> </w:t>
            </w:r>
          </w:p>
          <w:p w14:paraId="04BC76C0" w14:textId="77777777" w:rsidR="00965F6A" w:rsidRPr="007C426E" w:rsidRDefault="00F30C1A" w:rsidP="007C426E">
            <w:pPr>
              <w:pStyle w:val="a8"/>
              <w:ind w:firstLineChars="0" w:firstLine="0"/>
              <w:rPr>
                <w:rFonts w:ascii="宋体"/>
                <w:sz w:val="24"/>
              </w:rPr>
            </w:pPr>
            <w:r w:rsidRPr="00F85F3D">
              <w:rPr>
                <w:rFonts w:ascii="宋体" w:hint="eastAsia"/>
                <w:sz w:val="24"/>
              </w:rPr>
              <w:t>充电插座要求引用GB/T18384.3中6.10.2，增</w:t>
            </w:r>
            <w:r w:rsidRPr="007C426E">
              <w:rPr>
                <w:rFonts w:ascii="宋体" w:hint="eastAsia"/>
                <w:sz w:val="24"/>
              </w:rPr>
              <w:t>加了直流充电口的绝缘电阻要求</w:t>
            </w:r>
          </w:p>
        </w:tc>
      </w:tr>
      <w:tr w:rsidR="007C426E" w:rsidRPr="007C426E" w14:paraId="0062C2DF" w14:textId="77777777" w:rsidTr="007C426E">
        <w:tc>
          <w:tcPr>
            <w:tcW w:w="817" w:type="dxa"/>
            <w:shd w:val="clear" w:color="auto" w:fill="auto"/>
          </w:tcPr>
          <w:p w14:paraId="06C5B726" w14:textId="77777777" w:rsidR="00965F6A" w:rsidRPr="007C426E" w:rsidRDefault="00351D65" w:rsidP="007C426E">
            <w:pPr>
              <w:pStyle w:val="a8"/>
              <w:ind w:firstLineChars="0" w:firstLine="0"/>
              <w:rPr>
                <w:rFonts w:ascii="宋体"/>
                <w:sz w:val="24"/>
              </w:rPr>
            </w:pPr>
            <w:r w:rsidRPr="007C426E">
              <w:rPr>
                <w:rFonts w:ascii="宋体" w:hint="eastAsia"/>
                <w:sz w:val="24"/>
              </w:rPr>
              <w:lastRenderedPageBreak/>
              <w:t>4</w:t>
            </w:r>
          </w:p>
        </w:tc>
        <w:tc>
          <w:tcPr>
            <w:tcW w:w="2552" w:type="dxa"/>
            <w:shd w:val="clear" w:color="auto" w:fill="auto"/>
          </w:tcPr>
          <w:p w14:paraId="6A0FF3D6" w14:textId="77777777" w:rsidR="00965F6A" w:rsidRPr="00F85F3D" w:rsidRDefault="00351D65" w:rsidP="007C426E">
            <w:pPr>
              <w:pStyle w:val="a8"/>
              <w:ind w:firstLineChars="0" w:firstLine="0"/>
              <w:rPr>
                <w:rFonts w:ascii="宋体"/>
                <w:sz w:val="24"/>
              </w:rPr>
            </w:pPr>
            <w:r w:rsidRPr="00F85F3D">
              <w:rPr>
                <w:rFonts w:ascii="宋体" w:hint="eastAsia"/>
                <w:sz w:val="24"/>
              </w:rPr>
              <w:t>5.1.4防水要求</w:t>
            </w:r>
          </w:p>
        </w:tc>
        <w:tc>
          <w:tcPr>
            <w:tcW w:w="5153" w:type="dxa"/>
            <w:shd w:val="clear" w:color="auto" w:fill="auto"/>
          </w:tcPr>
          <w:p w14:paraId="010A3A14" w14:textId="77777777" w:rsidR="00965F6A" w:rsidRPr="00F85F3D" w:rsidRDefault="007F215C" w:rsidP="007C426E">
            <w:pPr>
              <w:pStyle w:val="a8"/>
              <w:ind w:firstLineChars="0" w:firstLine="0"/>
              <w:rPr>
                <w:rFonts w:ascii="宋体"/>
                <w:sz w:val="24"/>
              </w:rPr>
            </w:pPr>
            <w:r w:rsidRPr="00F85F3D">
              <w:rPr>
                <w:rFonts w:ascii="宋体" w:cs="宋体" w:hint="eastAsia"/>
                <w:sz w:val="24"/>
              </w:rPr>
              <w:t>本标准防水要求与EVS-GTR的区别在于，EVS-GTR中符合一定条件的绝缘电阻监测功能也可以替代整车防水试验，而本标准中绝缘电阻监测是强制性满足要求，不能作为6.5整车模拟洗车和涉水试验的替代满足要求。</w:t>
            </w:r>
          </w:p>
        </w:tc>
      </w:tr>
      <w:tr w:rsidR="007C426E" w:rsidRPr="007C426E" w14:paraId="4AD84B7A" w14:textId="77777777" w:rsidTr="007C426E">
        <w:tc>
          <w:tcPr>
            <w:tcW w:w="817" w:type="dxa"/>
            <w:shd w:val="clear" w:color="auto" w:fill="auto"/>
          </w:tcPr>
          <w:p w14:paraId="67DAA1ED" w14:textId="77777777" w:rsidR="00965F6A" w:rsidRPr="007C426E" w:rsidRDefault="00351D65" w:rsidP="007C426E">
            <w:pPr>
              <w:pStyle w:val="a8"/>
              <w:ind w:firstLineChars="0" w:firstLine="0"/>
              <w:rPr>
                <w:rFonts w:ascii="宋体"/>
                <w:sz w:val="24"/>
              </w:rPr>
            </w:pPr>
            <w:r w:rsidRPr="007C426E">
              <w:rPr>
                <w:rFonts w:ascii="宋体" w:hint="eastAsia"/>
                <w:sz w:val="24"/>
              </w:rPr>
              <w:t>5</w:t>
            </w:r>
          </w:p>
        </w:tc>
        <w:tc>
          <w:tcPr>
            <w:tcW w:w="2552" w:type="dxa"/>
            <w:shd w:val="clear" w:color="auto" w:fill="auto"/>
          </w:tcPr>
          <w:p w14:paraId="49830049" w14:textId="77777777" w:rsidR="00965F6A" w:rsidRPr="007C426E" w:rsidRDefault="00351D65" w:rsidP="007C426E">
            <w:pPr>
              <w:pStyle w:val="a8"/>
              <w:ind w:firstLineChars="0" w:firstLine="0"/>
              <w:rPr>
                <w:rFonts w:ascii="宋体"/>
                <w:sz w:val="24"/>
              </w:rPr>
            </w:pPr>
            <w:r w:rsidRPr="007C426E">
              <w:rPr>
                <w:rFonts w:ascii="宋体" w:hint="eastAsia"/>
                <w:sz w:val="24"/>
              </w:rPr>
              <w:t>5.2 功能安全要求</w:t>
            </w:r>
          </w:p>
        </w:tc>
        <w:tc>
          <w:tcPr>
            <w:tcW w:w="5153" w:type="dxa"/>
            <w:shd w:val="clear" w:color="auto" w:fill="auto"/>
          </w:tcPr>
          <w:p w14:paraId="41AED646" w14:textId="77777777" w:rsidR="00351D65" w:rsidRPr="007C426E" w:rsidRDefault="00351D65" w:rsidP="007C426E">
            <w:pPr>
              <w:pStyle w:val="a8"/>
              <w:ind w:firstLineChars="0" w:firstLine="0"/>
              <w:rPr>
                <w:rFonts w:ascii="宋体"/>
                <w:sz w:val="24"/>
              </w:rPr>
            </w:pPr>
            <w:r w:rsidRPr="007C426E">
              <w:rPr>
                <w:rFonts w:ascii="宋体"/>
                <w:sz w:val="24"/>
              </w:rPr>
              <w:t>驱动系统接通和断开要求与GB</w:t>
            </w:r>
            <w:r w:rsidRPr="007C426E">
              <w:rPr>
                <w:rFonts w:ascii="宋体" w:hint="eastAsia"/>
                <w:sz w:val="24"/>
              </w:rPr>
              <w:t>/T18384.2，其中司机离座提示要求也与EVS-GTR一致；</w:t>
            </w:r>
          </w:p>
          <w:p w14:paraId="6B5F0887" w14:textId="77777777" w:rsidR="00351D65" w:rsidRPr="007C426E" w:rsidRDefault="00351D65" w:rsidP="007C426E">
            <w:pPr>
              <w:pStyle w:val="a8"/>
              <w:ind w:firstLineChars="0" w:firstLine="0"/>
              <w:rPr>
                <w:rFonts w:ascii="宋体"/>
                <w:sz w:val="24"/>
              </w:rPr>
            </w:pPr>
            <w:r w:rsidRPr="007C426E">
              <w:rPr>
                <w:rFonts w:ascii="宋体" w:hint="eastAsia"/>
                <w:sz w:val="24"/>
              </w:rPr>
              <w:t>行驶过程中的报警提示与EVS-GTR一致，其中低电量提示以及功率降低提示与GB/T18384.2一致；</w:t>
            </w:r>
          </w:p>
          <w:p w14:paraId="37D71FB9" w14:textId="77777777" w:rsidR="00351D65" w:rsidRPr="007C426E" w:rsidRDefault="00351D65" w:rsidP="007C426E">
            <w:pPr>
              <w:pStyle w:val="a8"/>
              <w:ind w:firstLineChars="0" w:firstLine="0"/>
              <w:rPr>
                <w:rFonts w:ascii="宋体"/>
                <w:sz w:val="24"/>
              </w:rPr>
            </w:pPr>
            <w:r w:rsidRPr="007C426E">
              <w:rPr>
                <w:rFonts w:ascii="宋体" w:hint="eastAsia"/>
                <w:sz w:val="24"/>
              </w:rPr>
              <w:t>反向行驶以及驻车要求与GB/T18384.2一致；</w:t>
            </w:r>
          </w:p>
          <w:p w14:paraId="52E8DFA3" w14:textId="77777777" w:rsidR="00351D65" w:rsidRPr="007C426E" w:rsidRDefault="00351D65" w:rsidP="007C426E">
            <w:pPr>
              <w:pStyle w:val="a8"/>
              <w:ind w:firstLineChars="0" w:firstLine="0"/>
              <w:rPr>
                <w:rFonts w:ascii="宋体"/>
                <w:sz w:val="24"/>
              </w:rPr>
            </w:pPr>
            <w:r w:rsidRPr="007C426E">
              <w:rPr>
                <w:rFonts w:ascii="宋体"/>
                <w:sz w:val="24"/>
              </w:rPr>
              <w:t>传导连接锁止要求是在EVS</w:t>
            </w:r>
            <w:r w:rsidRPr="007C426E">
              <w:rPr>
                <w:rFonts w:ascii="宋体" w:hint="eastAsia"/>
                <w:sz w:val="24"/>
              </w:rPr>
              <w:t>-</w:t>
            </w:r>
            <w:r w:rsidRPr="007C426E">
              <w:rPr>
                <w:rFonts w:ascii="宋体"/>
                <w:sz w:val="24"/>
              </w:rPr>
              <w:t>GTR以及GB</w:t>
            </w:r>
            <w:r w:rsidRPr="007C426E">
              <w:rPr>
                <w:rFonts w:ascii="宋体" w:hint="eastAsia"/>
                <w:sz w:val="24"/>
              </w:rPr>
              <w:t>/T18384.2的基础上考虑了后续的技术路线</w:t>
            </w:r>
            <w:r w:rsidR="00E97339" w:rsidRPr="007C426E">
              <w:rPr>
                <w:rFonts w:ascii="宋体" w:hint="eastAsia"/>
                <w:sz w:val="24"/>
              </w:rPr>
              <w:t>进行了调整。</w:t>
            </w:r>
          </w:p>
        </w:tc>
      </w:tr>
      <w:tr w:rsidR="007C426E" w:rsidRPr="007C426E" w14:paraId="57646236" w14:textId="77777777" w:rsidTr="007C426E">
        <w:tc>
          <w:tcPr>
            <w:tcW w:w="817" w:type="dxa"/>
            <w:shd w:val="clear" w:color="auto" w:fill="auto"/>
          </w:tcPr>
          <w:p w14:paraId="66D46A4C" w14:textId="77777777" w:rsidR="00965F6A" w:rsidRPr="007C426E" w:rsidRDefault="00E97339" w:rsidP="007C426E">
            <w:pPr>
              <w:pStyle w:val="a8"/>
              <w:ind w:firstLineChars="0" w:firstLine="0"/>
              <w:rPr>
                <w:rFonts w:ascii="宋体"/>
                <w:sz w:val="24"/>
              </w:rPr>
            </w:pPr>
            <w:r w:rsidRPr="007C426E">
              <w:rPr>
                <w:rFonts w:ascii="宋体" w:hint="eastAsia"/>
                <w:sz w:val="24"/>
              </w:rPr>
              <w:t>6</w:t>
            </w:r>
          </w:p>
        </w:tc>
        <w:tc>
          <w:tcPr>
            <w:tcW w:w="2552" w:type="dxa"/>
            <w:shd w:val="clear" w:color="auto" w:fill="auto"/>
          </w:tcPr>
          <w:p w14:paraId="7DFEE3C9" w14:textId="77777777" w:rsidR="00965F6A" w:rsidRPr="007C426E" w:rsidRDefault="00E97339" w:rsidP="007C426E">
            <w:pPr>
              <w:pStyle w:val="a8"/>
              <w:ind w:firstLineChars="0" w:firstLine="0"/>
              <w:rPr>
                <w:rFonts w:ascii="宋体"/>
                <w:sz w:val="24"/>
              </w:rPr>
            </w:pPr>
            <w:r w:rsidRPr="007C426E">
              <w:rPr>
                <w:rFonts w:ascii="宋体" w:hint="eastAsia"/>
                <w:sz w:val="24"/>
              </w:rPr>
              <w:t>6.1 直接接触防护测试</w:t>
            </w:r>
          </w:p>
        </w:tc>
        <w:tc>
          <w:tcPr>
            <w:tcW w:w="5153" w:type="dxa"/>
            <w:shd w:val="clear" w:color="auto" w:fill="auto"/>
          </w:tcPr>
          <w:p w14:paraId="367591BA" w14:textId="77777777" w:rsidR="00965F6A" w:rsidRPr="007C426E" w:rsidRDefault="00E97339" w:rsidP="007C426E">
            <w:pPr>
              <w:pStyle w:val="a8"/>
              <w:ind w:firstLineChars="0" w:firstLine="0"/>
              <w:rPr>
                <w:rFonts w:ascii="宋体"/>
                <w:sz w:val="24"/>
              </w:rPr>
            </w:pPr>
            <w:r w:rsidRPr="007C426E">
              <w:rPr>
                <w:rFonts w:ascii="宋体"/>
                <w:sz w:val="24"/>
              </w:rPr>
              <w:t>同EVS-GTR</w:t>
            </w:r>
          </w:p>
        </w:tc>
      </w:tr>
      <w:tr w:rsidR="007C426E" w:rsidRPr="007C426E" w14:paraId="44F10CC2" w14:textId="77777777" w:rsidTr="007C426E">
        <w:tc>
          <w:tcPr>
            <w:tcW w:w="817" w:type="dxa"/>
            <w:shd w:val="clear" w:color="auto" w:fill="auto"/>
          </w:tcPr>
          <w:p w14:paraId="4118A30F" w14:textId="77777777" w:rsidR="00965F6A" w:rsidRPr="007C426E" w:rsidRDefault="00E97339" w:rsidP="007C426E">
            <w:pPr>
              <w:pStyle w:val="a8"/>
              <w:ind w:firstLineChars="0" w:firstLine="0"/>
              <w:rPr>
                <w:rFonts w:ascii="宋体"/>
                <w:sz w:val="24"/>
              </w:rPr>
            </w:pPr>
            <w:r w:rsidRPr="007C426E">
              <w:rPr>
                <w:rFonts w:ascii="宋体" w:hint="eastAsia"/>
                <w:sz w:val="24"/>
              </w:rPr>
              <w:t>7</w:t>
            </w:r>
          </w:p>
        </w:tc>
        <w:tc>
          <w:tcPr>
            <w:tcW w:w="2552" w:type="dxa"/>
            <w:shd w:val="clear" w:color="auto" w:fill="auto"/>
          </w:tcPr>
          <w:p w14:paraId="69345070" w14:textId="77777777" w:rsidR="00965F6A" w:rsidRPr="007C426E" w:rsidRDefault="00F30C1A" w:rsidP="007C426E">
            <w:pPr>
              <w:pStyle w:val="a8"/>
              <w:ind w:firstLineChars="0" w:firstLine="0"/>
              <w:rPr>
                <w:rFonts w:ascii="宋体"/>
                <w:sz w:val="24"/>
              </w:rPr>
            </w:pPr>
            <w:r w:rsidRPr="007C426E">
              <w:rPr>
                <w:rFonts w:ascii="宋体" w:hint="eastAsia"/>
                <w:sz w:val="24"/>
              </w:rPr>
              <w:t>6.2.1</w:t>
            </w:r>
            <w:r w:rsidR="00E97339" w:rsidRPr="007C426E">
              <w:rPr>
                <w:rFonts w:ascii="宋体" w:hint="eastAsia"/>
                <w:sz w:val="24"/>
              </w:rPr>
              <w:t xml:space="preserve"> 整车绝缘电阻测试</w:t>
            </w:r>
          </w:p>
        </w:tc>
        <w:tc>
          <w:tcPr>
            <w:tcW w:w="5153" w:type="dxa"/>
            <w:shd w:val="clear" w:color="auto" w:fill="auto"/>
          </w:tcPr>
          <w:p w14:paraId="16FEB84D" w14:textId="77777777" w:rsidR="00965F6A" w:rsidRPr="007C426E" w:rsidRDefault="00E97339" w:rsidP="007C426E">
            <w:pPr>
              <w:pStyle w:val="a8"/>
              <w:ind w:firstLineChars="0" w:firstLine="0"/>
              <w:rPr>
                <w:rFonts w:ascii="宋体"/>
                <w:sz w:val="24"/>
              </w:rPr>
            </w:pPr>
            <w:r w:rsidRPr="007C426E">
              <w:rPr>
                <w:rFonts w:ascii="宋体"/>
                <w:sz w:val="24"/>
              </w:rPr>
              <w:t>不同于EVS</w:t>
            </w:r>
            <w:r w:rsidRPr="007C426E">
              <w:rPr>
                <w:rFonts w:ascii="宋体" w:hint="eastAsia"/>
                <w:sz w:val="24"/>
              </w:rPr>
              <w:t>-</w:t>
            </w:r>
            <w:r w:rsidRPr="007C426E">
              <w:rPr>
                <w:rFonts w:ascii="宋体"/>
                <w:sz w:val="24"/>
              </w:rPr>
              <w:t>GTR</w:t>
            </w:r>
            <w:r w:rsidRPr="007C426E">
              <w:rPr>
                <w:rFonts w:ascii="宋体" w:hint="eastAsia"/>
                <w:sz w:val="24"/>
              </w:rPr>
              <w:t>，</w:t>
            </w:r>
            <w:r w:rsidRPr="007C426E">
              <w:rPr>
                <w:rFonts w:ascii="宋体"/>
                <w:sz w:val="24"/>
              </w:rPr>
              <w:t>采用双表笔法测量</w:t>
            </w:r>
            <w:r w:rsidRPr="007C426E">
              <w:rPr>
                <w:rFonts w:ascii="宋体" w:hint="eastAsia"/>
                <w:sz w:val="24"/>
              </w:rPr>
              <w:t>，</w:t>
            </w:r>
            <w:r w:rsidRPr="007C426E">
              <w:rPr>
                <w:rFonts w:ascii="宋体"/>
                <w:sz w:val="24"/>
              </w:rPr>
              <w:t>计算公式对应进行调整</w:t>
            </w:r>
          </w:p>
        </w:tc>
      </w:tr>
      <w:tr w:rsidR="00E97339" w:rsidRPr="007C426E" w14:paraId="17C95FA8" w14:textId="77777777" w:rsidTr="007C426E">
        <w:tc>
          <w:tcPr>
            <w:tcW w:w="817" w:type="dxa"/>
            <w:shd w:val="clear" w:color="auto" w:fill="auto"/>
          </w:tcPr>
          <w:p w14:paraId="6E833D73" w14:textId="77777777" w:rsidR="00E97339" w:rsidRPr="007C426E" w:rsidRDefault="00E97339" w:rsidP="007C426E">
            <w:pPr>
              <w:pStyle w:val="a8"/>
              <w:ind w:firstLineChars="0" w:firstLine="0"/>
              <w:rPr>
                <w:rFonts w:ascii="宋体"/>
                <w:sz w:val="24"/>
              </w:rPr>
            </w:pPr>
            <w:r w:rsidRPr="007C426E">
              <w:rPr>
                <w:rFonts w:ascii="宋体" w:hint="eastAsia"/>
                <w:sz w:val="24"/>
              </w:rPr>
              <w:t>8</w:t>
            </w:r>
          </w:p>
        </w:tc>
        <w:tc>
          <w:tcPr>
            <w:tcW w:w="2552" w:type="dxa"/>
            <w:shd w:val="clear" w:color="auto" w:fill="auto"/>
          </w:tcPr>
          <w:p w14:paraId="3BD94FDA" w14:textId="77777777" w:rsidR="00E97339" w:rsidRPr="007C426E" w:rsidRDefault="00E97339" w:rsidP="007C426E">
            <w:pPr>
              <w:pStyle w:val="a8"/>
              <w:ind w:firstLineChars="0" w:firstLine="0"/>
              <w:rPr>
                <w:rFonts w:ascii="宋体"/>
                <w:sz w:val="24"/>
              </w:rPr>
            </w:pPr>
            <w:r w:rsidRPr="007C426E">
              <w:rPr>
                <w:rFonts w:ascii="宋体" w:hint="eastAsia"/>
                <w:sz w:val="24"/>
              </w:rPr>
              <w:t>6.</w:t>
            </w:r>
            <w:r w:rsidR="00F30C1A" w:rsidRPr="007C426E">
              <w:rPr>
                <w:rFonts w:ascii="宋体" w:hint="eastAsia"/>
                <w:sz w:val="24"/>
              </w:rPr>
              <w:t>2.2</w:t>
            </w:r>
            <w:r w:rsidRPr="007C426E">
              <w:rPr>
                <w:rFonts w:ascii="宋体" w:hint="eastAsia"/>
                <w:sz w:val="24"/>
              </w:rPr>
              <w:t xml:space="preserve"> 充电口绝缘电阻测试</w:t>
            </w:r>
          </w:p>
        </w:tc>
        <w:tc>
          <w:tcPr>
            <w:tcW w:w="5153" w:type="dxa"/>
            <w:shd w:val="clear" w:color="auto" w:fill="auto"/>
          </w:tcPr>
          <w:p w14:paraId="1AD92767" w14:textId="77777777" w:rsidR="00E97339" w:rsidRPr="007C426E" w:rsidRDefault="00E97339" w:rsidP="007C426E">
            <w:pPr>
              <w:pStyle w:val="a8"/>
              <w:ind w:firstLineChars="0" w:firstLine="0"/>
              <w:rPr>
                <w:rFonts w:ascii="宋体"/>
                <w:sz w:val="24"/>
              </w:rPr>
            </w:pPr>
            <w:r w:rsidRPr="007C426E">
              <w:rPr>
                <w:rFonts w:ascii="宋体"/>
                <w:sz w:val="24"/>
              </w:rPr>
              <w:t>新增</w:t>
            </w:r>
          </w:p>
        </w:tc>
      </w:tr>
      <w:tr w:rsidR="00E97339" w:rsidRPr="007C426E" w14:paraId="540B6C1B" w14:textId="77777777" w:rsidTr="007C426E">
        <w:tc>
          <w:tcPr>
            <w:tcW w:w="817" w:type="dxa"/>
            <w:shd w:val="clear" w:color="auto" w:fill="auto"/>
          </w:tcPr>
          <w:p w14:paraId="23675D37" w14:textId="77777777" w:rsidR="00E97339" w:rsidRPr="007C426E" w:rsidRDefault="00E97339" w:rsidP="007C426E">
            <w:pPr>
              <w:pStyle w:val="a8"/>
              <w:ind w:firstLineChars="0" w:firstLine="0"/>
              <w:rPr>
                <w:rFonts w:ascii="宋体"/>
                <w:sz w:val="24"/>
              </w:rPr>
            </w:pPr>
            <w:r w:rsidRPr="007C426E">
              <w:rPr>
                <w:rFonts w:ascii="宋体" w:hint="eastAsia"/>
                <w:sz w:val="24"/>
              </w:rPr>
              <w:t>9</w:t>
            </w:r>
          </w:p>
        </w:tc>
        <w:tc>
          <w:tcPr>
            <w:tcW w:w="2552" w:type="dxa"/>
            <w:shd w:val="clear" w:color="auto" w:fill="auto"/>
          </w:tcPr>
          <w:p w14:paraId="4F6FCEC3" w14:textId="77777777" w:rsidR="00E97339" w:rsidRPr="007C426E" w:rsidRDefault="00E97339" w:rsidP="007C426E">
            <w:pPr>
              <w:pStyle w:val="a8"/>
              <w:ind w:firstLineChars="0" w:firstLine="0"/>
              <w:rPr>
                <w:rFonts w:ascii="宋体"/>
                <w:sz w:val="24"/>
              </w:rPr>
            </w:pPr>
            <w:r w:rsidRPr="007C426E">
              <w:rPr>
                <w:rFonts w:ascii="宋体" w:hint="eastAsia"/>
                <w:sz w:val="24"/>
              </w:rPr>
              <w:t>6.</w:t>
            </w:r>
            <w:r w:rsidR="00F30C1A" w:rsidRPr="007C426E">
              <w:rPr>
                <w:rFonts w:ascii="宋体" w:hint="eastAsia"/>
                <w:sz w:val="24"/>
              </w:rPr>
              <w:t>3</w:t>
            </w:r>
            <w:r w:rsidRPr="007C426E">
              <w:rPr>
                <w:rFonts w:ascii="宋体" w:hint="eastAsia"/>
                <w:sz w:val="24"/>
              </w:rPr>
              <w:t>绝缘监测功能验证</w:t>
            </w:r>
          </w:p>
        </w:tc>
        <w:tc>
          <w:tcPr>
            <w:tcW w:w="5153" w:type="dxa"/>
            <w:shd w:val="clear" w:color="auto" w:fill="auto"/>
          </w:tcPr>
          <w:p w14:paraId="0F5BE922" w14:textId="77777777" w:rsidR="00E97339" w:rsidRPr="007C426E" w:rsidRDefault="00E97339" w:rsidP="007C426E">
            <w:pPr>
              <w:pStyle w:val="a8"/>
              <w:ind w:firstLineChars="0" w:firstLine="0"/>
              <w:rPr>
                <w:rFonts w:ascii="宋体"/>
                <w:sz w:val="24"/>
              </w:rPr>
            </w:pPr>
            <w:r w:rsidRPr="007C426E">
              <w:rPr>
                <w:rFonts w:ascii="宋体"/>
                <w:sz w:val="24"/>
              </w:rPr>
              <w:t>同EVS-GTR</w:t>
            </w:r>
          </w:p>
        </w:tc>
      </w:tr>
      <w:tr w:rsidR="00E97339" w:rsidRPr="007C426E" w14:paraId="1AFBB79B" w14:textId="77777777" w:rsidTr="007C426E">
        <w:tc>
          <w:tcPr>
            <w:tcW w:w="817" w:type="dxa"/>
            <w:shd w:val="clear" w:color="auto" w:fill="auto"/>
          </w:tcPr>
          <w:p w14:paraId="553F2ED6" w14:textId="77777777" w:rsidR="00E97339" w:rsidRPr="007C426E" w:rsidRDefault="00E97339" w:rsidP="007C426E">
            <w:pPr>
              <w:pStyle w:val="a8"/>
              <w:ind w:firstLineChars="0" w:firstLine="0"/>
              <w:rPr>
                <w:rFonts w:ascii="宋体"/>
                <w:sz w:val="24"/>
              </w:rPr>
            </w:pPr>
            <w:r w:rsidRPr="007C426E">
              <w:rPr>
                <w:rFonts w:ascii="宋体" w:hint="eastAsia"/>
                <w:sz w:val="24"/>
              </w:rPr>
              <w:t>10</w:t>
            </w:r>
          </w:p>
        </w:tc>
        <w:tc>
          <w:tcPr>
            <w:tcW w:w="2552" w:type="dxa"/>
            <w:shd w:val="clear" w:color="auto" w:fill="auto"/>
          </w:tcPr>
          <w:p w14:paraId="73F49836" w14:textId="77777777" w:rsidR="00E97339" w:rsidRPr="007C426E" w:rsidRDefault="00F30C1A" w:rsidP="007C426E">
            <w:pPr>
              <w:pStyle w:val="a8"/>
              <w:ind w:firstLineChars="0" w:firstLine="0"/>
              <w:rPr>
                <w:rFonts w:ascii="宋体"/>
                <w:sz w:val="24"/>
              </w:rPr>
            </w:pPr>
            <w:r w:rsidRPr="007C426E">
              <w:rPr>
                <w:rFonts w:ascii="宋体" w:hint="eastAsia"/>
                <w:sz w:val="24"/>
              </w:rPr>
              <w:t>6.4电位均衡测试</w:t>
            </w:r>
          </w:p>
        </w:tc>
        <w:tc>
          <w:tcPr>
            <w:tcW w:w="5153" w:type="dxa"/>
            <w:shd w:val="clear" w:color="auto" w:fill="auto"/>
          </w:tcPr>
          <w:p w14:paraId="098052F8" w14:textId="77777777" w:rsidR="00E97339" w:rsidRPr="007C426E" w:rsidRDefault="00F30C1A" w:rsidP="007C426E">
            <w:pPr>
              <w:pStyle w:val="a8"/>
              <w:ind w:firstLineChars="0" w:firstLine="0"/>
              <w:rPr>
                <w:rFonts w:ascii="宋体"/>
                <w:sz w:val="24"/>
              </w:rPr>
            </w:pPr>
            <w:r w:rsidRPr="007C426E">
              <w:rPr>
                <w:rFonts w:ascii="宋体"/>
                <w:sz w:val="24"/>
              </w:rPr>
              <w:t>新增</w:t>
            </w:r>
          </w:p>
        </w:tc>
      </w:tr>
      <w:tr w:rsidR="00F30C1A" w:rsidRPr="007C426E" w14:paraId="5DE7E3DB" w14:textId="77777777" w:rsidTr="007C426E">
        <w:tc>
          <w:tcPr>
            <w:tcW w:w="817" w:type="dxa"/>
            <w:shd w:val="clear" w:color="auto" w:fill="auto"/>
          </w:tcPr>
          <w:p w14:paraId="45BF8209" w14:textId="77777777" w:rsidR="00F30C1A" w:rsidRPr="007C426E" w:rsidRDefault="00F30C1A" w:rsidP="007C426E">
            <w:pPr>
              <w:pStyle w:val="a8"/>
              <w:ind w:firstLineChars="0" w:firstLine="0"/>
              <w:rPr>
                <w:rFonts w:ascii="宋体"/>
                <w:sz w:val="24"/>
              </w:rPr>
            </w:pPr>
            <w:r w:rsidRPr="007C426E">
              <w:rPr>
                <w:rFonts w:ascii="宋体" w:hint="eastAsia"/>
                <w:sz w:val="24"/>
              </w:rPr>
              <w:t>11</w:t>
            </w:r>
          </w:p>
        </w:tc>
        <w:tc>
          <w:tcPr>
            <w:tcW w:w="2552" w:type="dxa"/>
            <w:shd w:val="clear" w:color="auto" w:fill="auto"/>
          </w:tcPr>
          <w:p w14:paraId="5EEC6D1B" w14:textId="77777777" w:rsidR="00F30C1A" w:rsidRPr="007C426E" w:rsidRDefault="00F30C1A" w:rsidP="007C426E">
            <w:pPr>
              <w:pStyle w:val="a8"/>
              <w:ind w:firstLineChars="0" w:firstLine="0"/>
              <w:rPr>
                <w:rFonts w:ascii="宋体"/>
                <w:sz w:val="24"/>
              </w:rPr>
            </w:pPr>
            <w:r w:rsidRPr="007C426E">
              <w:rPr>
                <w:rFonts w:ascii="宋体" w:hint="eastAsia"/>
                <w:sz w:val="24"/>
              </w:rPr>
              <w:t>6.5电容耦合测试</w:t>
            </w:r>
          </w:p>
        </w:tc>
        <w:tc>
          <w:tcPr>
            <w:tcW w:w="5153" w:type="dxa"/>
            <w:shd w:val="clear" w:color="auto" w:fill="auto"/>
          </w:tcPr>
          <w:p w14:paraId="2F229CD8" w14:textId="77777777" w:rsidR="00F30C1A" w:rsidRPr="007C426E" w:rsidRDefault="00F30C1A" w:rsidP="007C426E">
            <w:pPr>
              <w:pStyle w:val="a8"/>
              <w:ind w:firstLineChars="0" w:firstLine="0"/>
              <w:rPr>
                <w:rFonts w:ascii="宋体"/>
                <w:sz w:val="24"/>
              </w:rPr>
            </w:pPr>
            <w:r w:rsidRPr="007C426E">
              <w:rPr>
                <w:rFonts w:ascii="宋体"/>
                <w:sz w:val="24"/>
              </w:rPr>
              <w:t>新增</w:t>
            </w:r>
          </w:p>
        </w:tc>
      </w:tr>
      <w:tr w:rsidR="00F30C1A" w:rsidRPr="007C426E" w14:paraId="091C6FFC" w14:textId="77777777" w:rsidTr="007C426E">
        <w:tc>
          <w:tcPr>
            <w:tcW w:w="817" w:type="dxa"/>
            <w:shd w:val="clear" w:color="auto" w:fill="auto"/>
          </w:tcPr>
          <w:p w14:paraId="241D3D26" w14:textId="77777777" w:rsidR="00F30C1A" w:rsidRPr="007C426E" w:rsidRDefault="00F30C1A" w:rsidP="007C426E">
            <w:pPr>
              <w:pStyle w:val="a8"/>
              <w:ind w:firstLineChars="0" w:firstLine="0"/>
              <w:rPr>
                <w:rFonts w:ascii="宋体"/>
                <w:sz w:val="24"/>
              </w:rPr>
            </w:pPr>
            <w:r w:rsidRPr="007C426E">
              <w:rPr>
                <w:rFonts w:ascii="宋体" w:hint="eastAsia"/>
                <w:sz w:val="24"/>
              </w:rPr>
              <w:t>12</w:t>
            </w:r>
          </w:p>
        </w:tc>
        <w:tc>
          <w:tcPr>
            <w:tcW w:w="2552" w:type="dxa"/>
            <w:shd w:val="clear" w:color="auto" w:fill="auto"/>
          </w:tcPr>
          <w:p w14:paraId="10BFA68F" w14:textId="77777777" w:rsidR="00F30C1A" w:rsidRPr="007C426E" w:rsidRDefault="00F30C1A" w:rsidP="007C426E">
            <w:pPr>
              <w:pStyle w:val="a8"/>
              <w:ind w:firstLineChars="0" w:firstLine="0"/>
              <w:rPr>
                <w:rFonts w:ascii="宋体"/>
                <w:sz w:val="24"/>
              </w:rPr>
            </w:pPr>
            <w:r w:rsidRPr="007C426E">
              <w:rPr>
                <w:rFonts w:ascii="宋体" w:hint="eastAsia"/>
                <w:sz w:val="24"/>
              </w:rPr>
              <w:t>6.6整车防水测试</w:t>
            </w:r>
          </w:p>
        </w:tc>
        <w:tc>
          <w:tcPr>
            <w:tcW w:w="5153" w:type="dxa"/>
            <w:shd w:val="clear" w:color="auto" w:fill="auto"/>
          </w:tcPr>
          <w:p w14:paraId="236587EE" w14:textId="77777777" w:rsidR="00F30C1A" w:rsidRPr="007C426E" w:rsidRDefault="00F30C1A" w:rsidP="007C426E">
            <w:pPr>
              <w:pStyle w:val="a8"/>
              <w:ind w:firstLineChars="0" w:firstLine="0"/>
              <w:rPr>
                <w:rFonts w:ascii="宋体"/>
                <w:sz w:val="24"/>
              </w:rPr>
            </w:pPr>
            <w:r w:rsidRPr="007C426E">
              <w:rPr>
                <w:rFonts w:ascii="宋体"/>
                <w:sz w:val="24"/>
              </w:rPr>
              <w:t>同EVS-GTR</w:t>
            </w:r>
          </w:p>
        </w:tc>
      </w:tr>
      <w:tr w:rsidR="00F30C1A" w:rsidRPr="007C426E" w14:paraId="03CD9F7A" w14:textId="77777777" w:rsidTr="007C426E">
        <w:tc>
          <w:tcPr>
            <w:tcW w:w="817" w:type="dxa"/>
            <w:shd w:val="clear" w:color="auto" w:fill="auto"/>
          </w:tcPr>
          <w:p w14:paraId="2300C4B4" w14:textId="77777777" w:rsidR="00F30C1A" w:rsidRPr="007C426E" w:rsidRDefault="00F30C1A" w:rsidP="007C426E">
            <w:pPr>
              <w:pStyle w:val="a8"/>
              <w:ind w:firstLineChars="0" w:firstLine="0"/>
              <w:rPr>
                <w:rFonts w:ascii="宋体"/>
                <w:sz w:val="24"/>
              </w:rPr>
            </w:pPr>
            <w:r w:rsidRPr="007C426E">
              <w:rPr>
                <w:rFonts w:ascii="宋体" w:hint="eastAsia"/>
                <w:sz w:val="24"/>
              </w:rPr>
              <w:t>13</w:t>
            </w:r>
          </w:p>
        </w:tc>
        <w:tc>
          <w:tcPr>
            <w:tcW w:w="2552" w:type="dxa"/>
            <w:shd w:val="clear" w:color="auto" w:fill="auto"/>
          </w:tcPr>
          <w:p w14:paraId="6F870308" w14:textId="77777777" w:rsidR="00F30C1A" w:rsidRPr="007C426E" w:rsidRDefault="00F30C1A" w:rsidP="007C426E">
            <w:pPr>
              <w:pStyle w:val="a8"/>
              <w:ind w:firstLineChars="0" w:firstLine="0"/>
              <w:rPr>
                <w:rFonts w:ascii="宋体"/>
                <w:sz w:val="24"/>
              </w:rPr>
            </w:pPr>
            <w:r w:rsidRPr="007C426E">
              <w:rPr>
                <w:rFonts w:ascii="宋体" w:hint="eastAsia"/>
                <w:sz w:val="24"/>
              </w:rPr>
              <w:t>6.7功能安全测试</w:t>
            </w:r>
          </w:p>
        </w:tc>
        <w:tc>
          <w:tcPr>
            <w:tcW w:w="5153" w:type="dxa"/>
            <w:shd w:val="clear" w:color="auto" w:fill="auto"/>
          </w:tcPr>
          <w:p w14:paraId="298C3B59" w14:textId="77777777" w:rsidR="00F30C1A" w:rsidRPr="007C426E" w:rsidRDefault="00F30C1A" w:rsidP="007C426E">
            <w:pPr>
              <w:pStyle w:val="a8"/>
              <w:ind w:firstLineChars="0" w:firstLine="0"/>
              <w:rPr>
                <w:rFonts w:ascii="宋体"/>
                <w:sz w:val="24"/>
              </w:rPr>
            </w:pPr>
            <w:r w:rsidRPr="007C426E">
              <w:rPr>
                <w:rFonts w:ascii="宋体"/>
                <w:sz w:val="24"/>
              </w:rPr>
              <w:t>新增</w:t>
            </w:r>
          </w:p>
        </w:tc>
      </w:tr>
      <w:tr w:rsidR="00F30C1A" w:rsidRPr="007C426E" w14:paraId="2C416A2D" w14:textId="77777777" w:rsidTr="007C426E">
        <w:tc>
          <w:tcPr>
            <w:tcW w:w="817" w:type="dxa"/>
            <w:shd w:val="clear" w:color="auto" w:fill="auto"/>
          </w:tcPr>
          <w:p w14:paraId="026BAC25" w14:textId="77777777" w:rsidR="00F30C1A" w:rsidRPr="007C426E" w:rsidRDefault="00F30C1A" w:rsidP="007C426E">
            <w:pPr>
              <w:pStyle w:val="a8"/>
              <w:ind w:firstLineChars="0" w:firstLine="0"/>
              <w:rPr>
                <w:rFonts w:ascii="宋体"/>
                <w:sz w:val="24"/>
              </w:rPr>
            </w:pPr>
            <w:r w:rsidRPr="007C426E">
              <w:rPr>
                <w:rFonts w:ascii="宋体" w:hint="eastAsia"/>
                <w:sz w:val="24"/>
              </w:rPr>
              <w:t>14</w:t>
            </w:r>
          </w:p>
        </w:tc>
        <w:tc>
          <w:tcPr>
            <w:tcW w:w="2552" w:type="dxa"/>
            <w:shd w:val="clear" w:color="auto" w:fill="auto"/>
          </w:tcPr>
          <w:p w14:paraId="77B7A9FB" w14:textId="77777777" w:rsidR="00F30C1A" w:rsidRPr="007C426E" w:rsidRDefault="00F30C1A" w:rsidP="007C426E">
            <w:pPr>
              <w:pStyle w:val="a8"/>
              <w:ind w:firstLineChars="0" w:firstLine="0"/>
              <w:rPr>
                <w:rFonts w:ascii="宋体"/>
                <w:sz w:val="24"/>
              </w:rPr>
            </w:pPr>
            <w:r w:rsidRPr="007C426E">
              <w:rPr>
                <w:rFonts w:ascii="宋体" w:hint="eastAsia"/>
                <w:sz w:val="24"/>
              </w:rPr>
              <w:t>附录A</w:t>
            </w:r>
          </w:p>
        </w:tc>
        <w:tc>
          <w:tcPr>
            <w:tcW w:w="5153" w:type="dxa"/>
            <w:shd w:val="clear" w:color="auto" w:fill="auto"/>
          </w:tcPr>
          <w:p w14:paraId="5C00F846" w14:textId="77777777" w:rsidR="00F30C1A" w:rsidRPr="007C426E" w:rsidRDefault="00F30C1A" w:rsidP="007C426E">
            <w:pPr>
              <w:pStyle w:val="a8"/>
              <w:ind w:firstLineChars="0" w:firstLine="0"/>
              <w:rPr>
                <w:rFonts w:ascii="宋体"/>
                <w:sz w:val="24"/>
              </w:rPr>
            </w:pPr>
            <w:r w:rsidRPr="007C426E">
              <w:rPr>
                <w:rFonts w:ascii="宋体"/>
                <w:sz w:val="24"/>
              </w:rPr>
              <w:t>同EVS-GTR</w:t>
            </w:r>
          </w:p>
        </w:tc>
      </w:tr>
      <w:tr w:rsidR="00F30C1A" w:rsidRPr="007C426E" w14:paraId="55EBB3F0" w14:textId="77777777" w:rsidTr="007C426E">
        <w:tc>
          <w:tcPr>
            <w:tcW w:w="817" w:type="dxa"/>
            <w:shd w:val="clear" w:color="auto" w:fill="auto"/>
          </w:tcPr>
          <w:p w14:paraId="64930488" w14:textId="77777777" w:rsidR="00F30C1A" w:rsidRPr="007C426E" w:rsidRDefault="00F30C1A" w:rsidP="007C426E">
            <w:pPr>
              <w:pStyle w:val="a8"/>
              <w:ind w:firstLineChars="0" w:firstLine="0"/>
              <w:rPr>
                <w:rFonts w:ascii="宋体"/>
                <w:sz w:val="24"/>
              </w:rPr>
            </w:pPr>
            <w:r w:rsidRPr="007C426E">
              <w:rPr>
                <w:rFonts w:ascii="宋体" w:hint="eastAsia"/>
                <w:sz w:val="24"/>
              </w:rPr>
              <w:lastRenderedPageBreak/>
              <w:t>15</w:t>
            </w:r>
          </w:p>
        </w:tc>
        <w:tc>
          <w:tcPr>
            <w:tcW w:w="2552" w:type="dxa"/>
            <w:shd w:val="clear" w:color="auto" w:fill="auto"/>
          </w:tcPr>
          <w:p w14:paraId="7721BA7B" w14:textId="77777777" w:rsidR="00F30C1A" w:rsidRPr="007C426E" w:rsidRDefault="00F30C1A" w:rsidP="007C426E">
            <w:pPr>
              <w:pStyle w:val="a8"/>
              <w:ind w:firstLineChars="0" w:firstLine="0"/>
              <w:rPr>
                <w:rFonts w:ascii="宋体"/>
                <w:sz w:val="24"/>
              </w:rPr>
            </w:pPr>
            <w:r w:rsidRPr="007C426E">
              <w:rPr>
                <w:rFonts w:ascii="宋体" w:hint="eastAsia"/>
                <w:sz w:val="24"/>
              </w:rPr>
              <w:t>附录B</w:t>
            </w:r>
          </w:p>
        </w:tc>
        <w:tc>
          <w:tcPr>
            <w:tcW w:w="5153" w:type="dxa"/>
            <w:shd w:val="clear" w:color="auto" w:fill="auto"/>
          </w:tcPr>
          <w:p w14:paraId="63FC0228" w14:textId="77777777" w:rsidR="00F30C1A" w:rsidRPr="007C426E" w:rsidRDefault="00F30C1A" w:rsidP="007C426E">
            <w:pPr>
              <w:pStyle w:val="a8"/>
              <w:ind w:firstLineChars="0" w:firstLine="0"/>
              <w:rPr>
                <w:rFonts w:ascii="宋体"/>
                <w:sz w:val="24"/>
              </w:rPr>
            </w:pPr>
            <w:r w:rsidRPr="007C426E">
              <w:rPr>
                <w:rFonts w:ascii="宋体"/>
                <w:sz w:val="24"/>
              </w:rPr>
              <w:t>新增</w:t>
            </w:r>
          </w:p>
        </w:tc>
      </w:tr>
    </w:tbl>
    <w:p w14:paraId="4E62DE3F" w14:textId="77777777" w:rsidR="0077711C" w:rsidRDefault="002A4619">
      <w:pPr>
        <w:numPr>
          <w:ilvl w:val="0"/>
          <w:numId w:val="3"/>
        </w:numPr>
        <w:tabs>
          <w:tab w:val="clear" w:pos="1676"/>
          <w:tab w:val="left" w:pos="360"/>
          <w:tab w:val="left" w:pos="540"/>
        </w:tabs>
        <w:spacing w:line="360" w:lineRule="auto"/>
        <w:ind w:left="720" w:hanging="720"/>
        <w:rPr>
          <w:rStyle w:val="af0"/>
          <w:sz w:val="28"/>
          <w:szCs w:val="28"/>
        </w:rPr>
      </w:pPr>
      <w:r>
        <w:rPr>
          <w:rStyle w:val="af0"/>
          <w:rFonts w:hint="eastAsia"/>
          <w:sz w:val="28"/>
          <w:szCs w:val="28"/>
        </w:rPr>
        <w:t>在标准体系中的位置，与现行相关法律、法规、规章及标准，特别是强制性标准的协调性；</w:t>
      </w:r>
    </w:p>
    <w:p w14:paraId="41F4EB7B" w14:textId="77777777" w:rsidR="0090637E" w:rsidRPr="0064799B" w:rsidRDefault="0090637E" w:rsidP="0064799B">
      <w:pPr>
        <w:pStyle w:val="a8"/>
        <w:rPr>
          <w:rFonts w:ascii="宋体"/>
          <w:sz w:val="24"/>
        </w:rPr>
      </w:pPr>
      <w:r w:rsidRPr="0064799B">
        <w:rPr>
          <w:rFonts w:ascii="宋体" w:hint="eastAsia"/>
          <w:sz w:val="24"/>
        </w:rPr>
        <w:t>本标准是电动汽车整车</w:t>
      </w:r>
      <w:r w:rsidR="002A4619" w:rsidRPr="0064799B">
        <w:rPr>
          <w:rFonts w:ascii="宋体" w:hint="eastAsia"/>
          <w:sz w:val="24"/>
        </w:rPr>
        <w:t>国家</w:t>
      </w:r>
      <w:r w:rsidR="00ED2A90">
        <w:rPr>
          <w:rFonts w:ascii="宋体" w:hint="eastAsia"/>
          <w:sz w:val="24"/>
        </w:rPr>
        <w:t>强制性</w:t>
      </w:r>
      <w:r w:rsidR="002A4619" w:rsidRPr="0064799B">
        <w:rPr>
          <w:rFonts w:ascii="宋体" w:hint="eastAsia"/>
          <w:sz w:val="24"/>
        </w:rPr>
        <w:t>标准，</w:t>
      </w:r>
      <w:r w:rsidRPr="0064799B">
        <w:rPr>
          <w:rFonts w:ascii="宋体" w:hint="eastAsia"/>
          <w:sz w:val="24"/>
        </w:rPr>
        <w:t>起草过程中充分考虑国内外现有相关标准的统一和协调。</w:t>
      </w:r>
    </w:p>
    <w:p w14:paraId="6BFAAA4B" w14:textId="77777777" w:rsidR="00ED054B" w:rsidRDefault="002A4619" w:rsidP="00ED054B">
      <w:pPr>
        <w:numPr>
          <w:ilvl w:val="0"/>
          <w:numId w:val="3"/>
        </w:numPr>
        <w:tabs>
          <w:tab w:val="clear" w:pos="1676"/>
          <w:tab w:val="left" w:pos="360"/>
          <w:tab w:val="left" w:pos="540"/>
        </w:tabs>
        <w:spacing w:line="360" w:lineRule="auto"/>
        <w:ind w:left="720" w:hanging="720"/>
        <w:rPr>
          <w:rStyle w:val="af0"/>
          <w:rFonts w:ascii="黑体" w:eastAsia="黑体"/>
          <w:sz w:val="28"/>
          <w:szCs w:val="28"/>
        </w:rPr>
      </w:pPr>
      <w:r>
        <w:rPr>
          <w:rStyle w:val="af0"/>
          <w:rFonts w:ascii="黑体" w:eastAsia="黑体" w:hint="eastAsia"/>
          <w:sz w:val="28"/>
          <w:szCs w:val="28"/>
        </w:rPr>
        <w:t>重大分歧意见的处理经过和依据</w:t>
      </w:r>
    </w:p>
    <w:p w14:paraId="0A63EC92" w14:textId="77777777" w:rsidR="00E97339" w:rsidRPr="001C2DEC" w:rsidRDefault="001C2DEC" w:rsidP="001C2DEC">
      <w:pPr>
        <w:pStyle w:val="a8"/>
        <w:rPr>
          <w:rFonts w:ascii="宋体"/>
          <w:bCs/>
          <w:sz w:val="24"/>
        </w:rPr>
      </w:pPr>
      <w:r w:rsidRPr="001C2DEC">
        <w:rPr>
          <w:rFonts w:ascii="宋体" w:hint="eastAsia"/>
          <w:bCs/>
          <w:sz w:val="24"/>
        </w:rPr>
        <w:t>1）</w:t>
      </w:r>
      <w:r>
        <w:rPr>
          <w:rFonts w:ascii="宋体" w:hint="eastAsia"/>
          <w:bCs/>
          <w:sz w:val="24"/>
        </w:rPr>
        <w:t>对于</w:t>
      </w:r>
      <w:r w:rsidR="00E97339" w:rsidRPr="001C2DEC">
        <w:rPr>
          <w:rFonts w:ascii="宋体" w:hint="eastAsia"/>
          <w:bCs/>
          <w:sz w:val="24"/>
        </w:rPr>
        <w:t>高压安全标识</w:t>
      </w:r>
      <w:r>
        <w:rPr>
          <w:rFonts w:ascii="宋体" w:hint="eastAsia"/>
          <w:bCs/>
          <w:sz w:val="24"/>
        </w:rPr>
        <w:t>的主要争议是该项要求对于充电口的适用性上，草案中要求描述并无争议。对于该情况，将持续进行行业意见搜集并形成最终意见在标准宣贯环节中体现；</w:t>
      </w:r>
    </w:p>
    <w:p w14:paraId="3677511D" w14:textId="77777777" w:rsidR="00B31838" w:rsidRPr="001C2DEC" w:rsidRDefault="001C2DEC" w:rsidP="001C2DEC">
      <w:pPr>
        <w:pStyle w:val="a8"/>
        <w:rPr>
          <w:rFonts w:ascii="宋体"/>
          <w:bCs/>
          <w:sz w:val="24"/>
        </w:rPr>
      </w:pPr>
      <w:r>
        <w:rPr>
          <w:rFonts w:ascii="宋体" w:hint="eastAsia"/>
          <w:bCs/>
          <w:sz w:val="24"/>
        </w:rPr>
        <w:t>2）</w:t>
      </w:r>
      <w:r w:rsidR="00B31838" w:rsidRPr="001C2DEC">
        <w:rPr>
          <w:rFonts w:ascii="宋体" w:hint="eastAsia"/>
          <w:bCs/>
          <w:sz w:val="24"/>
        </w:rPr>
        <w:t>驱动系统电源接通与断开</w:t>
      </w:r>
      <w:r>
        <w:rPr>
          <w:rFonts w:ascii="宋体" w:hint="eastAsia"/>
          <w:bCs/>
          <w:sz w:val="24"/>
        </w:rPr>
        <w:t>的主要争议是在与对该要求符合性的解读，针对该问题在整车工作组三届七次会议上起草组通过全国范围的意见征求，收集并整理出了几种符合要求的驱动系统电源接通与断开流程设计，并作为附录B以资料型附录的形式作为符合要求的样例说明；</w:t>
      </w:r>
    </w:p>
    <w:p w14:paraId="1A6FA898" w14:textId="77777777" w:rsidR="00E97339" w:rsidRPr="001C2DEC" w:rsidRDefault="006F1D25" w:rsidP="001C2DEC">
      <w:pPr>
        <w:pStyle w:val="a8"/>
        <w:rPr>
          <w:rFonts w:ascii="宋体"/>
          <w:bCs/>
          <w:sz w:val="24"/>
        </w:rPr>
      </w:pPr>
      <w:r>
        <w:rPr>
          <w:rFonts w:ascii="宋体" w:hint="eastAsia"/>
          <w:bCs/>
          <w:sz w:val="24"/>
        </w:rPr>
        <w:t>3</w:t>
      </w:r>
      <w:r w:rsidR="001C2DEC">
        <w:rPr>
          <w:rFonts w:ascii="宋体" w:hint="eastAsia"/>
          <w:bCs/>
          <w:sz w:val="24"/>
        </w:rPr>
        <w:t>）</w:t>
      </w:r>
      <w:r w:rsidR="00F30C1A" w:rsidRPr="001C2DEC">
        <w:rPr>
          <w:rFonts w:ascii="宋体" w:hint="eastAsia"/>
          <w:bCs/>
          <w:sz w:val="24"/>
        </w:rPr>
        <w:t>绝缘电阻要求</w:t>
      </w:r>
      <w:r>
        <w:rPr>
          <w:rFonts w:ascii="宋体" w:hint="eastAsia"/>
          <w:bCs/>
          <w:sz w:val="24"/>
        </w:rPr>
        <w:t>的主要争议点在于对所有电动汽车，包含燃料电池汽车，</w:t>
      </w:r>
      <w:r w:rsidR="001C2DEC">
        <w:rPr>
          <w:rFonts w:ascii="宋体" w:hint="eastAsia"/>
          <w:bCs/>
          <w:sz w:val="24"/>
        </w:rPr>
        <w:t>整车绝缘电阻500Ω/V</w:t>
      </w:r>
      <w:r>
        <w:rPr>
          <w:rFonts w:ascii="宋体" w:hint="eastAsia"/>
          <w:bCs/>
          <w:sz w:val="24"/>
        </w:rPr>
        <w:t>的要求。该争议意见是在整车工作组三届六次会议上由日产等企业提出的，主要考虑燃料电池汽车当前的技术条件很难满足整车500Ω/V的整车绝缘电阻要求。针对该问题，进行了与日本专家的专题讨论，并对燃料电池汽车行业内进行了技术调研，也证实了该情况，并且燃料电池汽车的间接接触防护是通过绝缘电阻100Ω/V以及加强绝缘或者双重绝缘的方式进行保障的。所以按此情况对绝缘电阻要求进行了调整。</w:t>
      </w:r>
    </w:p>
    <w:p w14:paraId="48A387A4" w14:textId="77777777" w:rsidR="0077711C" w:rsidRPr="00ED054B" w:rsidRDefault="002A4619" w:rsidP="00ED054B">
      <w:pPr>
        <w:numPr>
          <w:ilvl w:val="0"/>
          <w:numId w:val="3"/>
        </w:numPr>
        <w:tabs>
          <w:tab w:val="clear" w:pos="1676"/>
          <w:tab w:val="left" w:pos="360"/>
          <w:tab w:val="left" w:pos="540"/>
        </w:tabs>
        <w:spacing w:line="360" w:lineRule="auto"/>
        <w:ind w:left="720" w:hanging="720"/>
        <w:rPr>
          <w:rStyle w:val="af0"/>
          <w:rFonts w:ascii="黑体" w:eastAsia="黑体"/>
          <w:sz w:val="28"/>
          <w:szCs w:val="28"/>
        </w:rPr>
      </w:pPr>
      <w:r w:rsidRPr="00ED054B">
        <w:rPr>
          <w:rStyle w:val="af0"/>
          <w:rFonts w:ascii="黑体" w:eastAsia="黑体" w:hint="eastAsia"/>
          <w:sz w:val="28"/>
          <w:szCs w:val="28"/>
        </w:rPr>
        <w:t>标准性质的建议说明</w:t>
      </w:r>
    </w:p>
    <w:p w14:paraId="44976FCD" w14:textId="77777777" w:rsidR="0077711C" w:rsidRPr="0064799B" w:rsidRDefault="002A4619" w:rsidP="0064799B">
      <w:pPr>
        <w:pStyle w:val="a8"/>
        <w:rPr>
          <w:rFonts w:ascii="宋体"/>
          <w:sz w:val="24"/>
        </w:rPr>
      </w:pPr>
      <w:r w:rsidRPr="0064799B">
        <w:rPr>
          <w:rFonts w:ascii="宋体" w:hint="eastAsia"/>
          <w:sz w:val="24"/>
        </w:rPr>
        <w:t>作为电动汽车</w:t>
      </w:r>
      <w:r w:rsidR="0090637E" w:rsidRPr="0064799B">
        <w:rPr>
          <w:rFonts w:ascii="宋体" w:hint="eastAsia"/>
          <w:sz w:val="24"/>
        </w:rPr>
        <w:t>整车</w:t>
      </w:r>
      <w:r w:rsidR="003A5A13">
        <w:rPr>
          <w:rFonts w:ascii="宋体" w:hint="eastAsia"/>
          <w:sz w:val="24"/>
        </w:rPr>
        <w:t>最重要、最基础的安全标准</w:t>
      </w:r>
      <w:r w:rsidRPr="0064799B">
        <w:rPr>
          <w:rFonts w:ascii="宋体" w:hint="eastAsia"/>
          <w:sz w:val="24"/>
        </w:rPr>
        <w:t>，本标准</w:t>
      </w:r>
      <w:r w:rsidR="003A5A13">
        <w:rPr>
          <w:rFonts w:ascii="宋体" w:hint="eastAsia"/>
          <w:sz w:val="24"/>
        </w:rPr>
        <w:t>建议</w:t>
      </w:r>
      <w:r w:rsidRPr="0064799B">
        <w:rPr>
          <w:rFonts w:ascii="宋体" w:hint="eastAsia"/>
          <w:sz w:val="24"/>
        </w:rPr>
        <w:t>作为</w:t>
      </w:r>
      <w:r w:rsidR="003A5A13">
        <w:rPr>
          <w:rFonts w:ascii="宋体" w:hint="eastAsia"/>
          <w:sz w:val="24"/>
        </w:rPr>
        <w:t>强制</w:t>
      </w:r>
      <w:r w:rsidRPr="0064799B">
        <w:rPr>
          <w:rFonts w:ascii="宋体" w:hint="eastAsia"/>
          <w:sz w:val="24"/>
        </w:rPr>
        <w:t>性国家标准</w:t>
      </w:r>
      <w:r w:rsidR="003A5A13">
        <w:rPr>
          <w:rFonts w:ascii="宋体" w:hint="eastAsia"/>
          <w:sz w:val="24"/>
        </w:rPr>
        <w:t>规范以电动汽车市场</w:t>
      </w:r>
      <w:r w:rsidRPr="0064799B">
        <w:rPr>
          <w:rFonts w:ascii="宋体" w:hint="eastAsia"/>
          <w:sz w:val="24"/>
        </w:rPr>
        <w:t>，并可作为准入管理的引用标准。</w:t>
      </w:r>
    </w:p>
    <w:p w14:paraId="00A8E16B" w14:textId="77777777" w:rsidR="0077711C" w:rsidRDefault="002A4619">
      <w:pPr>
        <w:numPr>
          <w:ilvl w:val="0"/>
          <w:numId w:val="3"/>
        </w:numPr>
        <w:tabs>
          <w:tab w:val="clear" w:pos="1676"/>
          <w:tab w:val="left" w:pos="360"/>
          <w:tab w:val="left" w:pos="540"/>
        </w:tabs>
        <w:spacing w:line="360" w:lineRule="auto"/>
        <w:ind w:left="720" w:hanging="720"/>
        <w:rPr>
          <w:rStyle w:val="af0"/>
          <w:rFonts w:ascii="黑体" w:eastAsia="黑体"/>
          <w:sz w:val="28"/>
          <w:szCs w:val="28"/>
        </w:rPr>
      </w:pPr>
      <w:r>
        <w:rPr>
          <w:rStyle w:val="af0"/>
          <w:rFonts w:ascii="黑体" w:eastAsia="黑体" w:hint="eastAsia"/>
          <w:sz w:val="28"/>
          <w:szCs w:val="28"/>
        </w:rPr>
        <w:t>贯彻标准的要求和措施建议</w:t>
      </w:r>
    </w:p>
    <w:p w14:paraId="69DC8675" w14:textId="77777777" w:rsidR="0077711C" w:rsidRPr="0064799B" w:rsidRDefault="002A4619" w:rsidP="0055286B">
      <w:pPr>
        <w:pStyle w:val="a8"/>
        <w:ind w:firstLineChars="250" w:firstLine="600"/>
        <w:rPr>
          <w:rFonts w:ascii="宋体"/>
          <w:sz w:val="24"/>
        </w:rPr>
      </w:pPr>
      <w:r w:rsidRPr="0064799B">
        <w:rPr>
          <w:rFonts w:ascii="宋体" w:hint="eastAsia"/>
          <w:sz w:val="24"/>
        </w:rPr>
        <w:t>无。</w:t>
      </w:r>
    </w:p>
    <w:p w14:paraId="4C1F265F" w14:textId="77777777" w:rsidR="0077711C" w:rsidRDefault="002A4619">
      <w:pPr>
        <w:numPr>
          <w:ilvl w:val="0"/>
          <w:numId w:val="3"/>
        </w:numPr>
        <w:tabs>
          <w:tab w:val="clear" w:pos="1676"/>
          <w:tab w:val="left" w:pos="360"/>
          <w:tab w:val="left" w:pos="540"/>
        </w:tabs>
        <w:spacing w:line="360" w:lineRule="auto"/>
        <w:ind w:left="720" w:hanging="720"/>
        <w:rPr>
          <w:rStyle w:val="af0"/>
          <w:rFonts w:ascii="黑体" w:eastAsia="黑体"/>
          <w:sz w:val="28"/>
          <w:szCs w:val="28"/>
        </w:rPr>
      </w:pPr>
      <w:r>
        <w:rPr>
          <w:rStyle w:val="af0"/>
          <w:rFonts w:ascii="黑体" w:eastAsia="黑体" w:hint="eastAsia"/>
          <w:sz w:val="28"/>
          <w:szCs w:val="28"/>
        </w:rPr>
        <w:t>废止现行相关标准的建议</w:t>
      </w:r>
    </w:p>
    <w:p w14:paraId="620FF715" w14:textId="77777777" w:rsidR="0077711C" w:rsidRPr="0064799B" w:rsidRDefault="003A5A13" w:rsidP="003A5A13">
      <w:pPr>
        <w:pStyle w:val="a8"/>
        <w:ind w:left="720" w:firstLineChars="0" w:firstLine="0"/>
        <w:rPr>
          <w:rFonts w:ascii="宋体"/>
          <w:sz w:val="24"/>
        </w:rPr>
      </w:pPr>
      <w:r>
        <w:rPr>
          <w:rFonts w:ascii="宋体" w:hint="eastAsia"/>
          <w:sz w:val="24"/>
        </w:rPr>
        <w:t>建议本标准实施后，替代GB/T18384系列标准。</w:t>
      </w:r>
    </w:p>
    <w:p w14:paraId="1986C20A" w14:textId="77777777" w:rsidR="0077711C" w:rsidRDefault="002A4619">
      <w:pPr>
        <w:numPr>
          <w:ilvl w:val="0"/>
          <w:numId w:val="3"/>
        </w:numPr>
        <w:tabs>
          <w:tab w:val="clear" w:pos="1676"/>
          <w:tab w:val="left" w:pos="360"/>
          <w:tab w:val="left" w:pos="540"/>
        </w:tabs>
        <w:spacing w:line="360" w:lineRule="auto"/>
        <w:ind w:left="720" w:hanging="720"/>
        <w:rPr>
          <w:rStyle w:val="af0"/>
          <w:rFonts w:ascii="黑体" w:eastAsia="黑体"/>
          <w:sz w:val="28"/>
          <w:szCs w:val="28"/>
        </w:rPr>
      </w:pPr>
      <w:r>
        <w:rPr>
          <w:rStyle w:val="af0"/>
          <w:rFonts w:ascii="黑体" w:eastAsia="黑体" w:hint="eastAsia"/>
          <w:sz w:val="28"/>
          <w:szCs w:val="28"/>
        </w:rPr>
        <w:lastRenderedPageBreak/>
        <w:t>其他应予说明的事项</w:t>
      </w:r>
    </w:p>
    <w:p w14:paraId="61CEB234" w14:textId="77777777" w:rsidR="0077711C" w:rsidRPr="0064799B" w:rsidRDefault="0090637E" w:rsidP="0055286B">
      <w:pPr>
        <w:pStyle w:val="a8"/>
        <w:ind w:firstLineChars="250" w:firstLine="600"/>
        <w:rPr>
          <w:rFonts w:ascii="宋体"/>
          <w:sz w:val="24"/>
        </w:rPr>
      </w:pPr>
      <w:r w:rsidRPr="0064799B">
        <w:rPr>
          <w:rFonts w:ascii="宋体" w:hint="eastAsia"/>
          <w:sz w:val="24"/>
        </w:rPr>
        <w:t>无。</w:t>
      </w:r>
    </w:p>
    <w:sectPr w:rsidR="0077711C" w:rsidRPr="0064799B" w:rsidSect="00777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2B5E9" w14:textId="77777777" w:rsidR="002F2933" w:rsidRDefault="002F2933" w:rsidP="00DE115E">
      <w:r>
        <w:separator/>
      </w:r>
    </w:p>
  </w:endnote>
  <w:endnote w:type="continuationSeparator" w:id="0">
    <w:p w14:paraId="7ABB4CED" w14:textId="77777777" w:rsidR="002F2933" w:rsidRDefault="002F2933" w:rsidP="00DE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67A2A" w14:textId="77777777" w:rsidR="002F2933" w:rsidRDefault="002F2933" w:rsidP="00DE115E">
      <w:r>
        <w:separator/>
      </w:r>
    </w:p>
  </w:footnote>
  <w:footnote w:type="continuationSeparator" w:id="0">
    <w:p w14:paraId="654FB818" w14:textId="77777777" w:rsidR="002F2933" w:rsidRDefault="002F2933" w:rsidP="00DE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67E9"/>
    <w:multiLevelType w:val="multilevel"/>
    <w:tmpl w:val="68FAB4E2"/>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 w15:restartNumberingAfterBreak="0">
    <w:nsid w:val="36FA40B7"/>
    <w:multiLevelType w:val="hybridMultilevel"/>
    <w:tmpl w:val="ED58F436"/>
    <w:lvl w:ilvl="0" w:tplc="A58ED52C">
      <w:start w:val="1"/>
      <w:numFmt w:val="lowerLetter"/>
      <w:lvlText w:val="%1."/>
      <w:lvlJc w:val="left"/>
      <w:pPr>
        <w:ind w:left="840" w:hanging="360"/>
      </w:pPr>
      <w:rPr>
        <w:rFonts w:hint="default"/>
      </w:rPr>
    </w:lvl>
    <w:lvl w:ilvl="1" w:tplc="784C6A0C" w:tentative="1">
      <w:start w:val="1"/>
      <w:numFmt w:val="lowerLetter"/>
      <w:lvlText w:val="%2)"/>
      <w:lvlJc w:val="left"/>
      <w:pPr>
        <w:ind w:left="1320" w:hanging="420"/>
      </w:pPr>
    </w:lvl>
    <w:lvl w:ilvl="2" w:tplc="AE244F9A" w:tentative="1">
      <w:start w:val="1"/>
      <w:numFmt w:val="lowerRoman"/>
      <w:lvlText w:val="%3."/>
      <w:lvlJc w:val="right"/>
      <w:pPr>
        <w:ind w:left="1740" w:hanging="420"/>
      </w:pPr>
    </w:lvl>
    <w:lvl w:ilvl="3" w:tplc="3D0444B4" w:tentative="1">
      <w:start w:val="1"/>
      <w:numFmt w:val="decimal"/>
      <w:lvlText w:val="%4."/>
      <w:lvlJc w:val="left"/>
      <w:pPr>
        <w:ind w:left="2160" w:hanging="420"/>
      </w:pPr>
    </w:lvl>
    <w:lvl w:ilvl="4" w:tplc="0608A528" w:tentative="1">
      <w:start w:val="1"/>
      <w:numFmt w:val="lowerLetter"/>
      <w:lvlText w:val="%5)"/>
      <w:lvlJc w:val="left"/>
      <w:pPr>
        <w:ind w:left="2580" w:hanging="420"/>
      </w:pPr>
    </w:lvl>
    <w:lvl w:ilvl="5" w:tplc="9282F5B6" w:tentative="1">
      <w:start w:val="1"/>
      <w:numFmt w:val="lowerRoman"/>
      <w:lvlText w:val="%6."/>
      <w:lvlJc w:val="right"/>
      <w:pPr>
        <w:ind w:left="3000" w:hanging="420"/>
      </w:pPr>
    </w:lvl>
    <w:lvl w:ilvl="6" w:tplc="EA0A2EC8" w:tentative="1">
      <w:start w:val="1"/>
      <w:numFmt w:val="decimal"/>
      <w:lvlText w:val="%7."/>
      <w:lvlJc w:val="left"/>
      <w:pPr>
        <w:ind w:left="3420" w:hanging="420"/>
      </w:pPr>
    </w:lvl>
    <w:lvl w:ilvl="7" w:tplc="2B6AF584" w:tentative="1">
      <w:start w:val="1"/>
      <w:numFmt w:val="lowerLetter"/>
      <w:lvlText w:val="%8)"/>
      <w:lvlJc w:val="left"/>
      <w:pPr>
        <w:ind w:left="3840" w:hanging="420"/>
      </w:pPr>
    </w:lvl>
    <w:lvl w:ilvl="8" w:tplc="6434AF2C" w:tentative="1">
      <w:start w:val="1"/>
      <w:numFmt w:val="lowerRoman"/>
      <w:lvlText w:val="%9."/>
      <w:lvlJc w:val="right"/>
      <w:pPr>
        <w:ind w:left="4260" w:hanging="420"/>
      </w:pPr>
    </w:lvl>
  </w:abstractNum>
  <w:abstractNum w:abstractNumId="2" w15:restartNumberingAfterBreak="0">
    <w:nsid w:val="3D442175"/>
    <w:multiLevelType w:val="multilevel"/>
    <w:tmpl w:val="85FEFF46"/>
    <w:lvl w:ilvl="0">
      <w:start w:val="1"/>
      <w:numFmt w:val="japaneseCounting"/>
      <w:lvlText w:val="%1、"/>
      <w:lvlJc w:val="left"/>
      <w:pPr>
        <w:tabs>
          <w:tab w:val="left" w:pos="1676"/>
        </w:tabs>
        <w:ind w:left="1676" w:hanging="1116"/>
      </w:pPr>
      <w:rPr>
        <w:rFonts w:hint="eastAsia"/>
        <w:lang w:val="en-US"/>
      </w:rPr>
    </w:lvl>
    <w:lvl w:ilvl="1">
      <w:start w:val="1"/>
      <w:numFmt w:val="decimal"/>
      <w:lvlText w:val="%2)"/>
      <w:lvlJc w:val="left"/>
      <w:pPr>
        <w:ind w:left="1340" w:hanging="360"/>
      </w:pPr>
      <w:rPr>
        <w:rFonts w:hint="default"/>
      </w:r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3" w15:restartNumberingAfterBreak="0">
    <w:nsid w:val="4A2B0DE0"/>
    <w:multiLevelType w:val="hybridMultilevel"/>
    <w:tmpl w:val="496AFE66"/>
    <w:lvl w:ilvl="0" w:tplc="1DDE23D6">
      <w:start w:val="1"/>
      <w:numFmt w:val="decimal"/>
      <w:lvlText w:val="%1）"/>
      <w:lvlJc w:val="left"/>
      <w:pPr>
        <w:ind w:left="840" w:hanging="360"/>
      </w:pPr>
      <w:rPr>
        <w:rFonts w:hint="default"/>
      </w:rPr>
    </w:lvl>
    <w:lvl w:ilvl="1" w:tplc="181A1732" w:tentative="1">
      <w:start w:val="1"/>
      <w:numFmt w:val="lowerLetter"/>
      <w:lvlText w:val="%2)"/>
      <w:lvlJc w:val="left"/>
      <w:pPr>
        <w:ind w:left="1320" w:hanging="420"/>
      </w:pPr>
    </w:lvl>
    <w:lvl w:ilvl="2" w:tplc="619869AE" w:tentative="1">
      <w:start w:val="1"/>
      <w:numFmt w:val="lowerRoman"/>
      <w:lvlText w:val="%3."/>
      <w:lvlJc w:val="right"/>
      <w:pPr>
        <w:ind w:left="1740" w:hanging="420"/>
      </w:pPr>
    </w:lvl>
    <w:lvl w:ilvl="3" w:tplc="B21C66F8" w:tentative="1">
      <w:start w:val="1"/>
      <w:numFmt w:val="decimal"/>
      <w:lvlText w:val="%4."/>
      <w:lvlJc w:val="left"/>
      <w:pPr>
        <w:ind w:left="2160" w:hanging="420"/>
      </w:pPr>
    </w:lvl>
    <w:lvl w:ilvl="4" w:tplc="C60C334E" w:tentative="1">
      <w:start w:val="1"/>
      <w:numFmt w:val="lowerLetter"/>
      <w:lvlText w:val="%5)"/>
      <w:lvlJc w:val="left"/>
      <w:pPr>
        <w:ind w:left="2580" w:hanging="420"/>
      </w:pPr>
    </w:lvl>
    <w:lvl w:ilvl="5" w:tplc="A09637E0" w:tentative="1">
      <w:start w:val="1"/>
      <w:numFmt w:val="lowerRoman"/>
      <w:lvlText w:val="%6."/>
      <w:lvlJc w:val="right"/>
      <w:pPr>
        <w:ind w:left="3000" w:hanging="420"/>
      </w:pPr>
    </w:lvl>
    <w:lvl w:ilvl="6" w:tplc="DB422772" w:tentative="1">
      <w:start w:val="1"/>
      <w:numFmt w:val="decimal"/>
      <w:lvlText w:val="%7."/>
      <w:lvlJc w:val="left"/>
      <w:pPr>
        <w:ind w:left="3420" w:hanging="420"/>
      </w:pPr>
    </w:lvl>
    <w:lvl w:ilvl="7" w:tplc="B2F61F98" w:tentative="1">
      <w:start w:val="1"/>
      <w:numFmt w:val="lowerLetter"/>
      <w:lvlText w:val="%8)"/>
      <w:lvlJc w:val="left"/>
      <w:pPr>
        <w:ind w:left="3840" w:hanging="420"/>
      </w:pPr>
    </w:lvl>
    <w:lvl w:ilvl="8" w:tplc="83CEE30E" w:tentative="1">
      <w:start w:val="1"/>
      <w:numFmt w:val="lowerRoman"/>
      <w:lvlText w:val="%9."/>
      <w:lvlJc w:val="right"/>
      <w:pPr>
        <w:ind w:left="4260" w:hanging="420"/>
      </w:pPr>
    </w:lvl>
  </w:abstractNum>
  <w:abstractNum w:abstractNumId="4" w15:restartNumberingAfterBreak="0">
    <w:nsid w:val="4E320869"/>
    <w:multiLevelType w:val="hybridMultilevel"/>
    <w:tmpl w:val="CCEE533C"/>
    <w:lvl w:ilvl="0" w:tplc="BF1C0CEE">
      <w:start w:val="1"/>
      <w:numFmt w:val="decimalEnclosedCircle"/>
      <w:lvlText w:val="%1"/>
      <w:lvlJc w:val="left"/>
      <w:pPr>
        <w:ind w:left="4897" w:hanging="360"/>
      </w:pPr>
      <w:rPr>
        <w:rFonts w:hint="default"/>
      </w:rPr>
    </w:lvl>
    <w:lvl w:ilvl="1" w:tplc="8564CD10" w:tentative="1">
      <w:start w:val="1"/>
      <w:numFmt w:val="lowerLetter"/>
      <w:lvlText w:val="%2)"/>
      <w:lvlJc w:val="left"/>
      <w:pPr>
        <w:ind w:left="5377" w:hanging="420"/>
      </w:pPr>
    </w:lvl>
    <w:lvl w:ilvl="2" w:tplc="698818D4" w:tentative="1">
      <w:start w:val="1"/>
      <w:numFmt w:val="lowerRoman"/>
      <w:lvlText w:val="%3."/>
      <w:lvlJc w:val="right"/>
      <w:pPr>
        <w:ind w:left="5797" w:hanging="420"/>
      </w:pPr>
    </w:lvl>
    <w:lvl w:ilvl="3" w:tplc="F89898C0" w:tentative="1">
      <w:start w:val="1"/>
      <w:numFmt w:val="decimal"/>
      <w:lvlText w:val="%4."/>
      <w:lvlJc w:val="left"/>
      <w:pPr>
        <w:ind w:left="6217" w:hanging="420"/>
      </w:pPr>
    </w:lvl>
    <w:lvl w:ilvl="4" w:tplc="6DC24C4E" w:tentative="1">
      <w:start w:val="1"/>
      <w:numFmt w:val="lowerLetter"/>
      <w:lvlText w:val="%5)"/>
      <w:lvlJc w:val="left"/>
      <w:pPr>
        <w:ind w:left="6637" w:hanging="420"/>
      </w:pPr>
    </w:lvl>
    <w:lvl w:ilvl="5" w:tplc="D97AC340" w:tentative="1">
      <w:start w:val="1"/>
      <w:numFmt w:val="lowerRoman"/>
      <w:lvlText w:val="%6."/>
      <w:lvlJc w:val="right"/>
      <w:pPr>
        <w:ind w:left="7057" w:hanging="420"/>
      </w:pPr>
    </w:lvl>
    <w:lvl w:ilvl="6" w:tplc="19FC30C2" w:tentative="1">
      <w:start w:val="1"/>
      <w:numFmt w:val="decimal"/>
      <w:lvlText w:val="%7."/>
      <w:lvlJc w:val="left"/>
      <w:pPr>
        <w:ind w:left="7477" w:hanging="420"/>
      </w:pPr>
    </w:lvl>
    <w:lvl w:ilvl="7" w:tplc="07E89928" w:tentative="1">
      <w:start w:val="1"/>
      <w:numFmt w:val="lowerLetter"/>
      <w:lvlText w:val="%8)"/>
      <w:lvlJc w:val="left"/>
      <w:pPr>
        <w:ind w:left="7897" w:hanging="420"/>
      </w:pPr>
    </w:lvl>
    <w:lvl w:ilvl="8" w:tplc="FC60B310" w:tentative="1">
      <w:start w:val="1"/>
      <w:numFmt w:val="lowerRoman"/>
      <w:lvlText w:val="%9."/>
      <w:lvlJc w:val="right"/>
      <w:pPr>
        <w:ind w:left="8317" w:hanging="420"/>
      </w:pPr>
    </w:lvl>
  </w:abstractNum>
  <w:abstractNum w:abstractNumId="5" w15:restartNumberingAfterBreak="0">
    <w:nsid w:val="55B95CDC"/>
    <w:multiLevelType w:val="hybridMultilevel"/>
    <w:tmpl w:val="19460EC4"/>
    <w:lvl w:ilvl="0" w:tplc="EE723AF4">
      <w:start w:val="1"/>
      <w:numFmt w:val="ideograph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5DC0DCF"/>
    <w:multiLevelType w:val="hybridMultilevel"/>
    <w:tmpl w:val="105A8F64"/>
    <w:lvl w:ilvl="0" w:tplc="8A58E9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46260FA"/>
    <w:multiLevelType w:val="multilevel"/>
    <w:tmpl w:val="646260FA"/>
    <w:lvl w:ilvl="0" w:tentative="1">
      <w:start w:val="1"/>
      <w:numFmt w:val="decimal"/>
      <w:pStyle w:val="a0"/>
      <w:suff w:val="nothing"/>
      <w:lvlText w:val="表%1　"/>
      <w:lvlJc w:val="left"/>
      <w:pPr>
        <w:ind w:left="0" w:firstLine="0"/>
      </w:pPr>
      <w:rPr>
        <w:rFonts w:ascii="黑体" w:eastAsia="黑体" w:hAnsi="Times New Roman" w:hint="eastAsia"/>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8" w15:restartNumberingAfterBreak="0">
    <w:nsid w:val="6CEA2025"/>
    <w:multiLevelType w:val="multilevel"/>
    <w:tmpl w:val="6CEA2025"/>
    <w:lvl w:ilvl="0" w:tentative="1">
      <w:start w:val="1"/>
      <w:numFmt w:val="none"/>
      <w:pStyle w:val="a1"/>
      <w:suff w:val="nothing"/>
      <w:lvlText w:val="%1"/>
      <w:lvlJc w:val="left"/>
      <w:pPr>
        <w:ind w:left="0" w:firstLine="0"/>
      </w:pPr>
      <w:rPr>
        <w:rFonts w:ascii="Times New Roman" w:hAnsi="Times New Roman" w:hint="default"/>
        <w:b/>
        <w:i w:val="0"/>
        <w:sz w:val="21"/>
      </w:rPr>
    </w:lvl>
    <w:lvl w:ilvl="1" w:tentative="1">
      <w:start w:val="1"/>
      <w:numFmt w:val="decimal"/>
      <w:pStyle w:val="a2"/>
      <w:suff w:val="nothing"/>
      <w:lvlText w:val="%1%2　"/>
      <w:lvlJc w:val="left"/>
      <w:pPr>
        <w:ind w:left="0" w:firstLine="0"/>
      </w:pPr>
      <w:rPr>
        <w:rFonts w:ascii="黑体" w:eastAsia="黑体" w:hAnsi="Times New Roman" w:hint="eastAsia"/>
        <w:b w:val="0"/>
        <w:i w:val="0"/>
        <w:sz w:val="21"/>
      </w:rPr>
    </w:lvl>
    <w:lvl w:ilvl="2" w:tentative="1">
      <w:start w:val="1"/>
      <w:numFmt w:val="decimal"/>
      <w:pStyle w:val="a3"/>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360" w:firstLine="0"/>
      </w:pPr>
      <w:rPr>
        <w:rFonts w:ascii="黑体" w:eastAsia="黑体" w:hAnsi="Times New Roman" w:hint="eastAsia"/>
        <w:b w:val="0"/>
        <w:i w:val="0"/>
        <w:sz w:val="21"/>
      </w:rPr>
    </w:lvl>
    <w:lvl w:ilvl="4" w:tentative="1">
      <w:start w:val="1"/>
      <w:numFmt w:val="decimal"/>
      <w:suff w:val="nothing"/>
      <w:lvlText w:val="%1%2.%3.%4.%5　"/>
      <w:lvlJc w:val="left"/>
      <w:pPr>
        <w:ind w:left="284" w:firstLine="0"/>
      </w:pPr>
      <w:rPr>
        <w:rFonts w:ascii="黑体" w:eastAsia="黑体" w:hAnsi="Times New Roman" w:hint="eastAsia"/>
        <w:b w:val="0"/>
        <w:i w:val="0"/>
        <w:sz w:val="21"/>
      </w:rPr>
    </w:lvl>
    <w:lvl w:ilvl="5" w:tentative="1">
      <w:start w:val="1"/>
      <w:numFmt w:val="decimal"/>
      <w:suff w:val="nothing"/>
      <w:lvlText w:val="%1%2.%3.%4.%5.%6　"/>
      <w:lvlJc w:val="left"/>
      <w:pPr>
        <w:ind w:left="126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9" w15:restartNumberingAfterBreak="0">
    <w:nsid w:val="6D286093"/>
    <w:multiLevelType w:val="hybridMultilevel"/>
    <w:tmpl w:val="885EF09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4C7503B"/>
    <w:multiLevelType w:val="hybridMultilevel"/>
    <w:tmpl w:val="047EAB20"/>
    <w:lvl w:ilvl="0" w:tplc="AC26CAFE">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773622A5"/>
    <w:multiLevelType w:val="hybridMultilevel"/>
    <w:tmpl w:val="8EC8F508"/>
    <w:lvl w:ilvl="0" w:tplc="05AAC8A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7"/>
  </w:num>
  <w:num w:numId="3">
    <w:abstractNumId w:val="2"/>
  </w:num>
  <w:num w:numId="4">
    <w:abstractNumId w:val="6"/>
  </w:num>
  <w:num w:numId="5">
    <w:abstractNumId w:val="3"/>
  </w:num>
  <w:num w:numId="6">
    <w:abstractNumId w:val="4"/>
  </w:num>
  <w:num w:numId="7">
    <w:abstractNumId w:val="0"/>
  </w:num>
  <w:num w:numId="8">
    <w:abstractNumId w:val="1"/>
  </w:num>
  <w:num w:numId="9">
    <w:abstractNumId w:val="11"/>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11C"/>
    <w:rsid w:val="00020C01"/>
    <w:rsid w:val="000229F7"/>
    <w:rsid w:val="0003045D"/>
    <w:rsid w:val="00033924"/>
    <w:rsid w:val="00034F15"/>
    <w:rsid w:val="00036098"/>
    <w:rsid w:val="00047771"/>
    <w:rsid w:val="00047FD1"/>
    <w:rsid w:val="00071819"/>
    <w:rsid w:val="00072884"/>
    <w:rsid w:val="00072901"/>
    <w:rsid w:val="00077DB0"/>
    <w:rsid w:val="00084D90"/>
    <w:rsid w:val="0008783A"/>
    <w:rsid w:val="000A34D9"/>
    <w:rsid w:val="000B625B"/>
    <w:rsid w:val="000C42C2"/>
    <w:rsid w:val="000C75F5"/>
    <w:rsid w:val="000D4724"/>
    <w:rsid w:val="000E0021"/>
    <w:rsid w:val="000E61F6"/>
    <w:rsid w:val="001147C3"/>
    <w:rsid w:val="00131DBB"/>
    <w:rsid w:val="00145D1C"/>
    <w:rsid w:val="00156DFC"/>
    <w:rsid w:val="00161E81"/>
    <w:rsid w:val="00165173"/>
    <w:rsid w:val="00174065"/>
    <w:rsid w:val="00195161"/>
    <w:rsid w:val="00195390"/>
    <w:rsid w:val="001A6E50"/>
    <w:rsid w:val="001B33B1"/>
    <w:rsid w:val="001C2DEC"/>
    <w:rsid w:val="001C50AD"/>
    <w:rsid w:val="001D1335"/>
    <w:rsid w:val="001F285F"/>
    <w:rsid w:val="001F77B0"/>
    <w:rsid w:val="00216D41"/>
    <w:rsid w:val="00217AFB"/>
    <w:rsid w:val="00217F47"/>
    <w:rsid w:val="00220994"/>
    <w:rsid w:val="00237ED7"/>
    <w:rsid w:val="002574C3"/>
    <w:rsid w:val="00262399"/>
    <w:rsid w:val="00264FB1"/>
    <w:rsid w:val="002A4619"/>
    <w:rsid w:val="002C2211"/>
    <w:rsid w:val="002C4BC8"/>
    <w:rsid w:val="002E0776"/>
    <w:rsid w:val="002F2933"/>
    <w:rsid w:val="002F35AA"/>
    <w:rsid w:val="002F71CC"/>
    <w:rsid w:val="003104B0"/>
    <w:rsid w:val="003200BB"/>
    <w:rsid w:val="00320A29"/>
    <w:rsid w:val="00330FC8"/>
    <w:rsid w:val="00333C8D"/>
    <w:rsid w:val="00343A4E"/>
    <w:rsid w:val="003451F3"/>
    <w:rsid w:val="00346BF9"/>
    <w:rsid w:val="00351D65"/>
    <w:rsid w:val="00362761"/>
    <w:rsid w:val="003662E6"/>
    <w:rsid w:val="003672A4"/>
    <w:rsid w:val="00385668"/>
    <w:rsid w:val="003A1AC9"/>
    <w:rsid w:val="003A50A6"/>
    <w:rsid w:val="003A5A13"/>
    <w:rsid w:val="003C581C"/>
    <w:rsid w:val="003C61A8"/>
    <w:rsid w:val="003D4DAA"/>
    <w:rsid w:val="003E4F5F"/>
    <w:rsid w:val="00416FC4"/>
    <w:rsid w:val="0042569B"/>
    <w:rsid w:val="00442E16"/>
    <w:rsid w:val="004526F7"/>
    <w:rsid w:val="00455DBF"/>
    <w:rsid w:val="00457F65"/>
    <w:rsid w:val="00462EBB"/>
    <w:rsid w:val="00463716"/>
    <w:rsid w:val="0046373B"/>
    <w:rsid w:val="00474196"/>
    <w:rsid w:val="00480DC4"/>
    <w:rsid w:val="004B5A9F"/>
    <w:rsid w:val="004C10CB"/>
    <w:rsid w:val="0051466B"/>
    <w:rsid w:val="00530E53"/>
    <w:rsid w:val="00535E4C"/>
    <w:rsid w:val="00537E0B"/>
    <w:rsid w:val="0055286B"/>
    <w:rsid w:val="00553FBE"/>
    <w:rsid w:val="00561CEE"/>
    <w:rsid w:val="00567468"/>
    <w:rsid w:val="00570E37"/>
    <w:rsid w:val="00571B5E"/>
    <w:rsid w:val="00573AE1"/>
    <w:rsid w:val="0059713D"/>
    <w:rsid w:val="005B6962"/>
    <w:rsid w:val="005C11D0"/>
    <w:rsid w:val="005D507A"/>
    <w:rsid w:val="005D6565"/>
    <w:rsid w:val="005E0299"/>
    <w:rsid w:val="005E1981"/>
    <w:rsid w:val="006007B3"/>
    <w:rsid w:val="006157EF"/>
    <w:rsid w:val="006303CE"/>
    <w:rsid w:val="00631599"/>
    <w:rsid w:val="006351D8"/>
    <w:rsid w:val="00644246"/>
    <w:rsid w:val="0064799B"/>
    <w:rsid w:val="00652E99"/>
    <w:rsid w:val="00653D15"/>
    <w:rsid w:val="00661119"/>
    <w:rsid w:val="00664F27"/>
    <w:rsid w:val="006655E5"/>
    <w:rsid w:val="00667D89"/>
    <w:rsid w:val="0067030A"/>
    <w:rsid w:val="0067405F"/>
    <w:rsid w:val="00675177"/>
    <w:rsid w:val="006759F2"/>
    <w:rsid w:val="006772ED"/>
    <w:rsid w:val="00684602"/>
    <w:rsid w:val="006A5E50"/>
    <w:rsid w:val="006B099D"/>
    <w:rsid w:val="006B3AB3"/>
    <w:rsid w:val="006C2AFB"/>
    <w:rsid w:val="006D03DA"/>
    <w:rsid w:val="006E3217"/>
    <w:rsid w:val="006E7BE7"/>
    <w:rsid w:val="006F04C4"/>
    <w:rsid w:val="006F1D25"/>
    <w:rsid w:val="006F354A"/>
    <w:rsid w:val="006F3A04"/>
    <w:rsid w:val="006F5D5D"/>
    <w:rsid w:val="006F634F"/>
    <w:rsid w:val="00717DEF"/>
    <w:rsid w:val="007258D4"/>
    <w:rsid w:val="00732588"/>
    <w:rsid w:val="0073490F"/>
    <w:rsid w:val="00755594"/>
    <w:rsid w:val="007714EF"/>
    <w:rsid w:val="0077711C"/>
    <w:rsid w:val="007A4391"/>
    <w:rsid w:val="007B38F5"/>
    <w:rsid w:val="007B6B2E"/>
    <w:rsid w:val="007C426E"/>
    <w:rsid w:val="007C42EB"/>
    <w:rsid w:val="007D29EA"/>
    <w:rsid w:val="007D3372"/>
    <w:rsid w:val="007E47C8"/>
    <w:rsid w:val="007E493E"/>
    <w:rsid w:val="007F215C"/>
    <w:rsid w:val="007F3371"/>
    <w:rsid w:val="00804859"/>
    <w:rsid w:val="00805730"/>
    <w:rsid w:val="00807430"/>
    <w:rsid w:val="008076A5"/>
    <w:rsid w:val="00810343"/>
    <w:rsid w:val="00817EDD"/>
    <w:rsid w:val="00823018"/>
    <w:rsid w:val="00831D62"/>
    <w:rsid w:val="00836611"/>
    <w:rsid w:val="008438A9"/>
    <w:rsid w:val="00852148"/>
    <w:rsid w:val="00855CDA"/>
    <w:rsid w:val="00856BE3"/>
    <w:rsid w:val="00862DCD"/>
    <w:rsid w:val="008772C4"/>
    <w:rsid w:val="00885C62"/>
    <w:rsid w:val="00894F83"/>
    <w:rsid w:val="00895B02"/>
    <w:rsid w:val="00896088"/>
    <w:rsid w:val="00896AB6"/>
    <w:rsid w:val="008A390A"/>
    <w:rsid w:val="008B0CB4"/>
    <w:rsid w:val="008C6638"/>
    <w:rsid w:val="008E0930"/>
    <w:rsid w:val="008E09DF"/>
    <w:rsid w:val="008E40A0"/>
    <w:rsid w:val="008E74A3"/>
    <w:rsid w:val="008F1F65"/>
    <w:rsid w:val="0090637E"/>
    <w:rsid w:val="0091074F"/>
    <w:rsid w:val="009143E3"/>
    <w:rsid w:val="0094738D"/>
    <w:rsid w:val="0094766F"/>
    <w:rsid w:val="00954B55"/>
    <w:rsid w:val="00955365"/>
    <w:rsid w:val="00957BD1"/>
    <w:rsid w:val="00965F6A"/>
    <w:rsid w:val="00967A1E"/>
    <w:rsid w:val="0097481F"/>
    <w:rsid w:val="0097744F"/>
    <w:rsid w:val="00991162"/>
    <w:rsid w:val="00991313"/>
    <w:rsid w:val="009974BF"/>
    <w:rsid w:val="009A13E0"/>
    <w:rsid w:val="009A20DC"/>
    <w:rsid w:val="009A357E"/>
    <w:rsid w:val="009A5FD2"/>
    <w:rsid w:val="009B10B0"/>
    <w:rsid w:val="009C1063"/>
    <w:rsid w:val="009C5C3D"/>
    <w:rsid w:val="009D166E"/>
    <w:rsid w:val="009E6983"/>
    <w:rsid w:val="009E6E08"/>
    <w:rsid w:val="009F26B2"/>
    <w:rsid w:val="00A00CF1"/>
    <w:rsid w:val="00A111C3"/>
    <w:rsid w:val="00A326FF"/>
    <w:rsid w:val="00A3640A"/>
    <w:rsid w:val="00A51356"/>
    <w:rsid w:val="00A60E79"/>
    <w:rsid w:val="00A61912"/>
    <w:rsid w:val="00A64483"/>
    <w:rsid w:val="00A83357"/>
    <w:rsid w:val="00A90E39"/>
    <w:rsid w:val="00AA0D94"/>
    <w:rsid w:val="00AA4393"/>
    <w:rsid w:val="00AB008A"/>
    <w:rsid w:val="00AB4A8A"/>
    <w:rsid w:val="00AD7B00"/>
    <w:rsid w:val="00B014B0"/>
    <w:rsid w:val="00B01DD7"/>
    <w:rsid w:val="00B02484"/>
    <w:rsid w:val="00B123D5"/>
    <w:rsid w:val="00B2176B"/>
    <w:rsid w:val="00B247E5"/>
    <w:rsid w:val="00B274BA"/>
    <w:rsid w:val="00B31838"/>
    <w:rsid w:val="00B36326"/>
    <w:rsid w:val="00B45F1D"/>
    <w:rsid w:val="00B6001E"/>
    <w:rsid w:val="00B64EF1"/>
    <w:rsid w:val="00B8592A"/>
    <w:rsid w:val="00B9228B"/>
    <w:rsid w:val="00B93AAF"/>
    <w:rsid w:val="00B95423"/>
    <w:rsid w:val="00BA39E3"/>
    <w:rsid w:val="00BB04DD"/>
    <w:rsid w:val="00BB27CB"/>
    <w:rsid w:val="00BD0774"/>
    <w:rsid w:val="00BE3F4E"/>
    <w:rsid w:val="00C0127A"/>
    <w:rsid w:val="00C26750"/>
    <w:rsid w:val="00C56988"/>
    <w:rsid w:val="00C90879"/>
    <w:rsid w:val="00CA3EC9"/>
    <w:rsid w:val="00CA40A3"/>
    <w:rsid w:val="00CB5743"/>
    <w:rsid w:val="00CC3876"/>
    <w:rsid w:val="00CC3D64"/>
    <w:rsid w:val="00CC7C0C"/>
    <w:rsid w:val="00CF48E6"/>
    <w:rsid w:val="00D11581"/>
    <w:rsid w:val="00D244DB"/>
    <w:rsid w:val="00D257E4"/>
    <w:rsid w:val="00D358BC"/>
    <w:rsid w:val="00D402BE"/>
    <w:rsid w:val="00D409F2"/>
    <w:rsid w:val="00D808C1"/>
    <w:rsid w:val="00D9716B"/>
    <w:rsid w:val="00DC00CD"/>
    <w:rsid w:val="00DC124D"/>
    <w:rsid w:val="00DE115E"/>
    <w:rsid w:val="00DE3627"/>
    <w:rsid w:val="00DE64F6"/>
    <w:rsid w:val="00DF55F0"/>
    <w:rsid w:val="00E2157F"/>
    <w:rsid w:val="00E35B69"/>
    <w:rsid w:val="00E438D9"/>
    <w:rsid w:val="00E44AA6"/>
    <w:rsid w:val="00E546C6"/>
    <w:rsid w:val="00E61073"/>
    <w:rsid w:val="00E91E85"/>
    <w:rsid w:val="00E96468"/>
    <w:rsid w:val="00E97339"/>
    <w:rsid w:val="00EA5D8B"/>
    <w:rsid w:val="00EB2E0D"/>
    <w:rsid w:val="00EC504A"/>
    <w:rsid w:val="00EC6BDE"/>
    <w:rsid w:val="00ED054B"/>
    <w:rsid w:val="00ED2A90"/>
    <w:rsid w:val="00EE5187"/>
    <w:rsid w:val="00F01793"/>
    <w:rsid w:val="00F17598"/>
    <w:rsid w:val="00F30C1A"/>
    <w:rsid w:val="00F3236A"/>
    <w:rsid w:val="00F44C4E"/>
    <w:rsid w:val="00F462C5"/>
    <w:rsid w:val="00F62B85"/>
    <w:rsid w:val="00F7612A"/>
    <w:rsid w:val="00F77478"/>
    <w:rsid w:val="00F85F3D"/>
    <w:rsid w:val="00F92FA3"/>
    <w:rsid w:val="00FB0E16"/>
    <w:rsid w:val="00FC3B7D"/>
    <w:rsid w:val="00FD527D"/>
    <w:rsid w:val="00FE160B"/>
    <w:rsid w:val="00FF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FC263CB"/>
  <w15:docId w15:val="{1637FF76-EC16-4A84-B491-C34854F9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77711C"/>
    <w:pPr>
      <w:widowControl w:val="0"/>
      <w:jc w:val="both"/>
    </w:pPr>
    <w:rPr>
      <w:rFonts w:ascii="Times New Roman" w:hAnsi="Times New Roman"/>
      <w:kern w:val="2"/>
      <w:sz w:val="21"/>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basedOn w:val="a4"/>
    <w:link w:val="a9"/>
    <w:rsid w:val="0077711C"/>
    <w:pPr>
      <w:spacing w:line="360" w:lineRule="auto"/>
      <w:ind w:firstLineChars="200" w:firstLine="480"/>
      <w:jc w:val="left"/>
    </w:pPr>
    <w:rPr>
      <w:rFonts w:hAnsi="宋体"/>
      <w:sz w:val="20"/>
    </w:rPr>
  </w:style>
  <w:style w:type="paragraph" w:styleId="aa">
    <w:name w:val="Balloon Text"/>
    <w:basedOn w:val="a4"/>
    <w:link w:val="ab"/>
    <w:uiPriority w:val="99"/>
    <w:semiHidden/>
    <w:unhideWhenUsed/>
    <w:rsid w:val="0077711C"/>
    <w:rPr>
      <w:rFonts w:hAnsi="宋体"/>
      <w:sz w:val="18"/>
      <w:szCs w:val="18"/>
    </w:rPr>
  </w:style>
  <w:style w:type="paragraph" w:styleId="ac">
    <w:name w:val="footer"/>
    <w:basedOn w:val="a4"/>
    <w:link w:val="ad"/>
    <w:uiPriority w:val="99"/>
    <w:unhideWhenUsed/>
    <w:rsid w:val="0077711C"/>
    <w:pPr>
      <w:tabs>
        <w:tab w:val="center" w:pos="4153"/>
        <w:tab w:val="right" w:pos="8306"/>
      </w:tabs>
      <w:snapToGrid w:val="0"/>
      <w:jc w:val="left"/>
    </w:pPr>
    <w:rPr>
      <w:rFonts w:ascii="宋体" w:hAnsi="宋体"/>
      <w:kern w:val="0"/>
      <w:sz w:val="18"/>
      <w:szCs w:val="18"/>
    </w:rPr>
  </w:style>
  <w:style w:type="paragraph" w:styleId="ae">
    <w:name w:val="header"/>
    <w:basedOn w:val="a4"/>
    <w:link w:val="af"/>
    <w:uiPriority w:val="99"/>
    <w:unhideWhenUsed/>
    <w:rsid w:val="0077711C"/>
    <w:pPr>
      <w:pBdr>
        <w:bottom w:val="single" w:sz="6" w:space="1" w:color="auto"/>
      </w:pBdr>
      <w:tabs>
        <w:tab w:val="center" w:pos="4153"/>
        <w:tab w:val="right" w:pos="8306"/>
      </w:tabs>
      <w:snapToGrid w:val="0"/>
      <w:jc w:val="center"/>
    </w:pPr>
    <w:rPr>
      <w:rFonts w:ascii="宋体" w:hAnsi="宋体"/>
      <w:kern w:val="0"/>
      <w:sz w:val="18"/>
      <w:szCs w:val="18"/>
    </w:rPr>
  </w:style>
  <w:style w:type="character" w:styleId="af0">
    <w:name w:val="Strong"/>
    <w:qFormat/>
    <w:rsid w:val="0077711C"/>
    <w:rPr>
      <w:b/>
      <w:bCs/>
    </w:rPr>
  </w:style>
  <w:style w:type="paragraph" w:customStyle="1" w:styleId="a1">
    <w:name w:val="前言、引言标题"/>
    <w:next w:val="a4"/>
    <w:rsid w:val="0077711C"/>
    <w:pPr>
      <w:numPr>
        <w:numId w:val="1"/>
      </w:numPr>
      <w:shd w:val="clear" w:color="FFFFFF" w:fill="FFFFFF"/>
      <w:spacing w:before="640" w:after="560"/>
      <w:jc w:val="center"/>
      <w:outlineLvl w:val="0"/>
    </w:pPr>
    <w:rPr>
      <w:rFonts w:ascii="黑体" w:eastAsia="黑体"/>
      <w:sz w:val="32"/>
    </w:rPr>
  </w:style>
  <w:style w:type="paragraph" w:customStyle="1" w:styleId="a2">
    <w:name w:val="章标题"/>
    <w:next w:val="a4"/>
    <w:rsid w:val="0077711C"/>
    <w:pPr>
      <w:numPr>
        <w:ilvl w:val="1"/>
        <w:numId w:val="1"/>
      </w:numPr>
      <w:spacing w:beforeLines="50" w:afterLines="50"/>
      <w:jc w:val="both"/>
      <w:outlineLvl w:val="1"/>
    </w:pPr>
    <w:rPr>
      <w:rFonts w:ascii="黑体" w:eastAsia="黑体"/>
      <w:sz w:val="21"/>
    </w:rPr>
  </w:style>
  <w:style w:type="paragraph" w:customStyle="1" w:styleId="a3">
    <w:name w:val="一级条标题"/>
    <w:next w:val="a4"/>
    <w:rsid w:val="0077711C"/>
    <w:pPr>
      <w:numPr>
        <w:ilvl w:val="2"/>
        <w:numId w:val="1"/>
      </w:numPr>
      <w:outlineLvl w:val="2"/>
    </w:pPr>
    <w:rPr>
      <w:rFonts w:ascii="Times New Roman" w:eastAsia="黑体"/>
      <w:sz w:val="21"/>
    </w:rPr>
  </w:style>
  <w:style w:type="paragraph" w:customStyle="1" w:styleId="af1">
    <w:name w:val="二级条标题"/>
    <w:basedOn w:val="a3"/>
    <w:next w:val="a4"/>
    <w:link w:val="Char"/>
    <w:rsid w:val="0077711C"/>
    <w:pPr>
      <w:numPr>
        <w:numId w:val="0"/>
      </w:numPr>
      <w:outlineLvl w:val="3"/>
    </w:pPr>
  </w:style>
  <w:style w:type="paragraph" w:customStyle="1" w:styleId="af2">
    <w:name w:val="三级条标题"/>
    <w:basedOn w:val="af1"/>
    <w:next w:val="a4"/>
    <w:rsid w:val="0077711C"/>
    <w:pPr>
      <w:outlineLvl w:val="4"/>
    </w:pPr>
  </w:style>
  <w:style w:type="paragraph" w:customStyle="1" w:styleId="af3">
    <w:name w:val="四级条标题"/>
    <w:basedOn w:val="af2"/>
    <w:next w:val="a4"/>
    <w:rsid w:val="0077711C"/>
    <w:pPr>
      <w:outlineLvl w:val="5"/>
    </w:pPr>
  </w:style>
  <w:style w:type="paragraph" w:customStyle="1" w:styleId="af4">
    <w:name w:val="五级条标题"/>
    <w:basedOn w:val="af3"/>
    <w:next w:val="a4"/>
    <w:rsid w:val="0077711C"/>
    <w:pPr>
      <w:outlineLvl w:val="6"/>
    </w:pPr>
  </w:style>
  <w:style w:type="paragraph" w:customStyle="1" w:styleId="a0">
    <w:name w:val="正文表标题"/>
    <w:next w:val="a4"/>
    <w:rsid w:val="0077711C"/>
    <w:pPr>
      <w:numPr>
        <w:numId w:val="2"/>
      </w:numPr>
      <w:jc w:val="center"/>
    </w:pPr>
    <w:rPr>
      <w:rFonts w:ascii="黑体" w:eastAsia="黑体"/>
      <w:sz w:val="21"/>
    </w:rPr>
  </w:style>
  <w:style w:type="paragraph" w:customStyle="1" w:styleId="1">
    <w:name w:val="列出段落1"/>
    <w:basedOn w:val="a4"/>
    <w:uiPriority w:val="34"/>
    <w:qFormat/>
    <w:rsid w:val="0077711C"/>
    <w:pPr>
      <w:ind w:firstLineChars="200" w:firstLine="420"/>
    </w:pPr>
  </w:style>
  <w:style w:type="character" w:customStyle="1" w:styleId="af">
    <w:name w:val="页眉 字符"/>
    <w:link w:val="ae"/>
    <w:uiPriority w:val="99"/>
    <w:rsid w:val="0077711C"/>
    <w:rPr>
      <w:sz w:val="18"/>
      <w:szCs w:val="18"/>
    </w:rPr>
  </w:style>
  <w:style w:type="character" w:customStyle="1" w:styleId="ad">
    <w:name w:val="页脚 字符"/>
    <w:link w:val="ac"/>
    <w:uiPriority w:val="99"/>
    <w:rsid w:val="0077711C"/>
    <w:rPr>
      <w:sz w:val="18"/>
      <w:szCs w:val="18"/>
    </w:rPr>
  </w:style>
  <w:style w:type="character" w:customStyle="1" w:styleId="a9">
    <w:name w:val="正文文本缩进 字符"/>
    <w:link w:val="a8"/>
    <w:rsid w:val="0077711C"/>
    <w:rPr>
      <w:rFonts w:ascii="Times New Roman"/>
      <w:kern w:val="2"/>
      <w:szCs w:val="24"/>
    </w:rPr>
  </w:style>
  <w:style w:type="character" w:customStyle="1" w:styleId="apple-style-span">
    <w:name w:val="apple-style-span"/>
    <w:basedOn w:val="a5"/>
    <w:rsid w:val="0077711C"/>
  </w:style>
  <w:style w:type="character" w:customStyle="1" w:styleId="apple-converted-space">
    <w:name w:val="apple-converted-space"/>
    <w:basedOn w:val="a5"/>
    <w:rsid w:val="0077711C"/>
  </w:style>
  <w:style w:type="character" w:customStyle="1" w:styleId="ab">
    <w:name w:val="批注框文本 字符"/>
    <w:link w:val="aa"/>
    <w:uiPriority w:val="99"/>
    <w:semiHidden/>
    <w:rsid w:val="0077711C"/>
    <w:rPr>
      <w:rFonts w:ascii="Times New Roman"/>
      <w:kern w:val="2"/>
      <w:sz w:val="18"/>
      <w:szCs w:val="18"/>
    </w:rPr>
  </w:style>
  <w:style w:type="paragraph" w:styleId="af5">
    <w:name w:val="Revision"/>
    <w:hidden/>
    <w:uiPriority w:val="99"/>
    <w:semiHidden/>
    <w:rsid w:val="005C11D0"/>
    <w:rPr>
      <w:rFonts w:ascii="Times New Roman" w:hAnsi="Times New Roman"/>
      <w:kern w:val="2"/>
      <w:sz w:val="21"/>
      <w:szCs w:val="24"/>
    </w:rPr>
  </w:style>
  <w:style w:type="paragraph" w:styleId="af6">
    <w:name w:val="Document Map"/>
    <w:basedOn w:val="a4"/>
    <w:link w:val="af7"/>
    <w:semiHidden/>
    <w:unhideWhenUsed/>
    <w:rsid w:val="00AA0D94"/>
    <w:rPr>
      <w:rFonts w:ascii="宋体"/>
      <w:sz w:val="18"/>
      <w:szCs w:val="18"/>
    </w:rPr>
  </w:style>
  <w:style w:type="character" w:customStyle="1" w:styleId="af7">
    <w:name w:val="文档结构图 字符"/>
    <w:link w:val="af6"/>
    <w:semiHidden/>
    <w:rsid w:val="00AA0D94"/>
    <w:rPr>
      <w:rFonts w:hAnsi="Times New Roman"/>
      <w:kern w:val="2"/>
      <w:sz w:val="18"/>
      <w:szCs w:val="18"/>
    </w:rPr>
  </w:style>
  <w:style w:type="paragraph" w:customStyle="1" w:styleId="af8">
    <w:name w:val="段"/>
    <w:link w:val="Char0"/>
    <w:uiPriority w:val="99"/>
    <w:rsid w:val="008F1F65"/>
    <w:pPr>
      <w:tabs>
        <w:tab w:val="center" w:pos="4201"/>
        <w:tab w:val="right" w:leader="dot" w:pos="9298"/>
      </w:tabs>
      <w:autoSpaceDE w:val="0"/>
      <w:autoSpaceDN w:val="0"/>
      <w:ind w:firstLineChars="200" w:firstLine="420"/>
      <w:jc w:val="both"/>
    </w:pPr>
    <w:rPr>
      <w:rFonts w:hAnsi="Times New Roman"/>
      <w:noProof/>
      <w:sz w:val="21"/>
    </w:rPr>
  </w:style>
  <w:style w:type="character" w:customStyle="1" w:styleId="Char0">
    <w:name w:val="段 Char"/>
    <w:link w:val="af8"/>
    <w:uiPriority w:val="99"/>
    <w:rsid w:val="008F1F65"/>
    <w:rPr>
      <w:rFonts w:hAnsi="Times New Roman"/>
      <w:noProof/>
      <w:sz w:val="21"/>
      <w:lang w:val="en-US" w:eastAsia="zh-CN" w:bidi="ar-SA"/>
    </w:rPr>
  </w:style>
  <w:style w:type="paragraph" w:customStyle="1" w:styleId="a">
    <w:name w:val="示例"/>
    <w:next w:val="a4"/>
    <w:rsid w:val="00FE160B"/>
    <w:pPr>
      <w:widowControl w:val="0"/>
      <w:numPr>
        <w:numId w:val="7"/>
      </w:numPr>
      <w:jc w:val="both"/>
    </w:pPr>
    <w:rPr>
      <w:rFonts w:hAnsi="Times New Roman"/>
      <w:sz w:val="18"/>
      <w:szCs w:val="18"/>
    </w:rPr>
  </w:style>
  <w:style w:type="character" w:customStyle="1" w:styleId="Char">
    <w:name w:val="二级条标题 Char"/>
    <w:link w:val="af1"/>
    <w:rsid w:val="00FE160B"/>
    <w:rPr>
      <w:rFonts w:ascii="Times New Roman" w:eastAsia="黑体"/>
      <w:sz w:val="21"/>
    </w:rPr>
  </w:style>
  <w:style w:type="table" w:styleId="af9">
    <w:name w:val="Table Grid"/>
    <w:basedOn w:val="a6"/>
    <w:uiPriority w:val="99"/>
    <w:unhideWhenUsed/>
    <w:rsid w:val="00965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5"/>
    <w:semiHidden/>
    <w:unhideWhenUsed/>
    <w:rsid w:val="00955365"/>
    <w:rPr>
      <w:sz w:val="21"/>
      <w:szCs w:val="21"/>
    </w:rPr>
  </w:style>
  <w:style w:type="paragraph" w:styleId="afb">
    <w:name w:val="annotation text"/>
    <w:basedOn w:val="a4"/>
    <w:link w:val="afc"/>
    <w:semiHidden/>
    <w:unhideWhenUsed/>
    <w:rsid w:val="00955365"/>
    <w:pPr>
      <w:jc w:val="left"/>
    </w:pPr>
  </w:style>
  <w:style w:type="character" w:customStyle="1" w:styleId="afc">
    <w:name w:val="批注文字 字符"/>
    <w:basedOn w:val="a5"/>
    <w:link w:val="afb"/>
    <w:semiHidden/>
    <w:rsid w:val="00955365"/>
    <w:rPr>
      <w:rFonts w:ascii="Times New Roman" w:hAnsi="Times New Roman"/>
      <w:kern w:val="2"/>
      <w:sz w:val="21"/>
      <w:szCs w:val="24"/>
    </w:rPr>
  </w:style>
  <w:style w:type="paragraph" w:styleId="afd">
    <w:name w:val="annotation subject"/>
    <w:basedOn w:val="afb"/>
    <w:next w:val="afb"/>
    <w:link w:val="afe"/>
    <w:semiHidden/>
    <w:unhideWhenUsed/>
    <w:rsid w:val="00955365"/>
    <w:rPr>
      <w:b/>
      <w:bCs/>
    </w:rPr>
  </w:style>
  <w:style w:type="character" w:customStyle="1" w:styleId="afe">
    <w:name w:val="批注主题 字符"/>
    <w:basedOn w:val="afc"/>
    <w:link w:val="afd"/>
    <w:semiHidden/>
    <w:rsid w:val="00955365"/>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49862">
      <w:bodyDiv w:val="1"/>
      <w:marLeft w:val="0"/>
      <w:marRight w:val="0"/>
      <w:marTop w:val="0"/>
      <w:marBottom w:val="0"/>
      <w:divBdr>
        <w:top w:val="none" w:sz="0" w:space="0" w:color="auto"/>
        <w:left w:val="none" w:sz="0" w:space="0" w:color="auto"/>
        <w:bottom w:val="none" w:sz="0" w:space="0" w:color="auto"/>
        <w:right w:val="none" w:sz="0" w:space="0" w:color="auto"/>
      </w:divBdr>
    </w:div>
    <w:div w:id="481505988">
      <w:bodyDiv w:val="1"/>
      <w:marLeft w:val="0"/>
      <w:marRight w:val="0"/>
      <w:marTop w:val="0"/>
      <w:marBottom w:val="0"/>
      <w:divBdr>
        <w:top w:val="none" w:sz="0" w:space="0" w:color="auto"/>
        <w:left w:val="none" w:sz="0" w:space="0" w:color="auto"/>
        <w:bottom w:val="none" w:sz="0" w:space="0" w:color="auto"/>
        <w:right w:val="none" w:sz="0" w:space="0" w:color="auto"/>
      </w:divBdr>
    </w:div>
    <w:div w:id="1373581662">
      <w:bodyDiv w:val="1"/>
      <w:marLeft w:val="0"/>
      <w:marRight w:val="0"/>
      <w:marTop w:val="0"/>
      <w:marBottom w:val="0"/>
      <w:divBdr>
        <w:top w:val="none" w:sz="0" w:space="0" w:color="auto"/>
        <w:left w:val="none" w:sz="0" w:space="0" w:color="auto"/>
        <w:bottom w:val="none" w:sz="0" w:space="0" w:color="auto"/>
        <w:right w:val="none" w:sz="0" w:space="0" w:color="auto"/>
      </w:divBdr>
    </w:div>
    <w:div w:id="1378243556">
      <w:bodyDiv w:val="1"/>
      <w:marLeft w:val="0"/>
      <w:marRight w:val="0"/>
      <w:marTop w:val="0"/>
      <w:marBottom w:val="0"/>
      <w:divBdr>
        <w:top w:val="none" w:sz="0" w:space="0" w:color="auto"/>
        <w:left w:val="none" w:sz="0" w:space="0" w:color="auto"/>
        <w:bottom w:val="none" w:sz="0" w:space="0" w:color="auto"/>
        <w:right w:val="none" w:sz="0" w:space="0" w:color="auto"/>
      </w:divBdr>
    </w:div>
    <w:div w:id="1424105097">
      <w:bodyDiv w:val="1"/>
      <w:marLeft w:val="0"/>
      <w:marRight w:val="0"/>
      <w:marTop w:val="0"/>
      <w:marBottom w:val="0"/>
      <w:divBdr>
        <w:top w:val="none" w:sz="0" w:space="0" w:color="auto"/>
        <w:left w:val="none" w:sz="0" w:space="0" w:color="auto"/>
        <w:bottom w:val="none" w:sz="0" w:space="0" w:color="auto"/>
        <w:right w:val="none" w:sz="0" w:space="0" w:color="auto"/>
      </w:divBdr>
    </w:div>
    <w:div w:id="1617253104">
      <w:bodyDiv w:val="1"/>
      <w:marLeft w:val="0"/>
      <w:marRight w:val="0"/>
      <w:marTop w:val="0"/>
      <w:marBottom w:val="0"/>
      <w:divBdr>
        <w:top w:val="none" w:sz="0" w:space="0" w:color="auto"/>
        <w:left w:val="none" w:sz="0" w:space="0" w:color="auto"/>
        <w:bottom w:val="none" w:sz="0" w:space="0" w:color="auto"/>
        <w:right w:val="none" w:sz="0" w:space="0" w:color="auto"/>
      </w:divBdr>
    </w:div>
    <w:div w:id="1987002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1052</Words>
  <Characters>6000</Characters>
  <Application>Microsoft Office Word</Application>
  <DocSecurity>0</DocSecurity>
  <Lines>50</Lines>
  <Paragraphs>14</Paragraphs>
  <ScaleCrop>false</ScaleCrop>
  <Company>微软中国</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电动汽车用动力蓄电池技术要求及试验方法</dc:title>
  <dc:creator>微软用户</dc:creator>
  <cp:lastModifiedBy>Chun Lu</cp:lastModifiedBy>
  <cp:revision>14</cp:revision>
  <dcterms:created xsi:type="dcterms:W3CDTF">2017-12-13T03:27:00Z</dcterms:created>
  <dcterms:modified xsi:type="dcterms:W3CDTF">2018-01-22T07:08:00Z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